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0ED51673" w:rsidR="000A1DF9" w:rsidRPr="003B2B06" w:rsidRDefault="000A1DF9" w:rsidP="003B2B06">
      <w:pPr>
        <w:jc w:val="center"/>
        <w:rPr>
          <w:rFonts w:cs="Arial"/>
          <w:b/>
          <w:sz w:val="24"/>
          <w:szCs w:val="24"/>
        </w:rPr>
      </w:pPr>
      <w:r w:rsidRPr="003B2B06">
        <w:rPr>
          <w:rFonts w:cs="Arial"/>
          <w:b/>
          <w:sz w:val="24"/>
          <w:szCs w:val="24"/>
        </w:rPr>
        <w:t xml:space="preserve">Rider to </w:t>
      </w:r>
      <w:r w:rsidR="00D92550" w:rsidRPr="003B2B06">
        <w:rPr>
          <w:rFonts w:cs="Arial"/>
          <w:b/>
          <w:sz w:val="24"/>
          <w:szCs w:val="24"/>
        </w:rPr>
        <w:t>Loan Agreement</w:t>
      </w:r>
    </w:p>
    <w:p w14:paraId="389BDD4A" w14:textId="5A268C7A" w:rsidR="00E73FB7" w:rsidRPr="003B2B06" w:rsidRDefault="00D1175A" w:rsidP="003B2B06">
      <w:pPr>
        <w:jc w:val="center"/>
        <w:rPr>
          <w:rFonts w:cs="Arial"/>
          <w:b/>
          <w:sz w:val="24"/>
          <w:szCs w:val="24"/>
        </w:rPr>
      </w:pPr>
      <w:r w:rsidRPr="003B2B06">
        <w:rPr>
          <w:rFonts w:cs="Arial"/>
          <w:b/>
          <w:sz w:val="24"/>
          <w:szCs w:val="24"/>
        </w:rPr>
        <w:t xml:space="preserve">Tax Credit </w:t>
      </w:r>
      <w:r w:rsidR="00E33B0B" w:rsidRPr="003B2B06">
        <w:rPr>
          <w:rFonts w:cs="Arial"/>
          <w:b/>
          <w:sz w:val="24"/>
          <w:szCs w:val="24"/>
        </w:rPr>
        <w:t>Property</w:t>
      </w:r>
    </w:p>
    <w:p w14:paraId="64BA05C5" w14:textId="01D049E5" w:rsidR="00E73FB7" w:rsidRPr="003B2B06" w:rsidRDefault="00E73FB7" w:rsidP="003B2B06">
      <w:pPr>
        <w:jc w:val="center"/>
        <w:rPr>
          <w:rFonts w:cs="Arial"/>
          <w:bCs/>
        </w:rPr>
      </w:pPr>
      <w:r w:rsidRPr="003B2B06">
        <w:rPr>
          <w:rFonts w:cs="Arial"/>
          <w:bCs/>
        </w:rPr>
        <w:t xml:space="preserve">(Revised </w:t>
      </w:r>
      <w:r w:rsidR="001A1894">
        <w:rPr>
          <w:rFonts w:cs="Arial"/>
          <w:bCs/>
        </w:rPr>
        <w:t>3</w:t>
      </w:r>
      <w:r w:rsidR="00D43338">
        <w:rPr>
          <w:rFonts w:cs="Arial"/>
          <w:bCs/>
        </w:rPr>
        <w:t>-</w:t>
      </w:r>
      <w:r w:rsidR="001A1894">
        <w:rPr>
          <w:rFonts w:cs="Arial"/>
          <w:bCs/>
        </w:rPr>
        <w:t>26</w:t>
      </w:r>
      <w:r w:rsidR="00FE21D0">
        <w:rPr>
          <w:rFonts w:cs="Arial"/>
          <w:bCs/>
        </w:rPr>
        <w:t>-</w:t>
      </w:r>
      <w:r w:rsidR="00147E71" w:rsidRPr="003B2B06">
        <w:rPr>
          <w:rFonts w:cs="Arial"/>
          <w:bCs/>
        </w:rPr>
        <w:t>202</w:t>
      </w:r>
      <w:r w:rsidR="001A1894">
        <w:rPr>
          <w:rFonts w:cs="Arial"/>
          <w:bCs/>
        </w:rPr>
        <w:t>4</w:t>
      </w:r>
      <w:r w:rsidRPr="003B2B06">
        <w:rPr>
          <w:rFonts w:cs="Arial"/>
          <w:bCs/>
        </w:rPr>
        <w:t>)</w:t>
      </w:r>
    </w:p>
    <w:p w14:paraId="46B6F74C" w14:textId="7A26E06C" w:rsidR="00480909" w:rsidRDefault="00480909" w:rsidP="00E73FB7">
      <w:pPr>
        <w:rPr>
          <w:rFonts w:cs="Arial"/>
          <w:bCs/>
          <w:sz w:val="24"/>
          <w:szCs w:val="24"/>
        </w:rPr>
      </w:pPr>
    </w:p>
    <w:p w14:paraId="08893AFA" w14:textId="77777777" w:rsidR="00EF3992" w:rsidRDefault="00EF3992" w:rsidP="00E73FB7">
      <w:pPr>
        <w:rPr>
          <w:rFonts w:cs="Arial"/>
          <w:bCs/>
          <w:sz w:val="24"/>
          <w:szCs w:val="24"/>
        </w:rPr>
      </w:pPr>
    </w:p>
    <w:p w14:paraId="1B2E571A" w14:textId="13E7FB77" w:rsidR="00FB35BC" w:rsidRPr="00D1175A" w:rsidRDefault="00FB35BC" w:rsidP="00FB35BC">
      <w:pPr>
        <w:tabs>
          <w:tab w:val="left" w:pos="-1440"/>
          <w:tab w:val="left" w:pos="-720"/>
          <w:tab w:val="left" w:pos="2880"/>
          <w:tab w:val="left" w:pos="3600"/>
          <w:tab w:val="left" w:pos="4320"/>
          <w:tab w:val="left" w:pos="5040"/>
          <w:tab w:val="left" w:pos="5760"/>
          <w:tab w:val="left" w:pos="6340"/>
          <w:tab w:val="left" w:pos="6480"/>
        </w:tabs>
        <w:suppressAutoHyphens/>
        <w:rPr>
          <w:rFonts w:cs="Arial"/>
        </w:rPr>
      </w:pPr>
      <w:r w:rsidRPr="00D1175A">
        <w:rPr>
          <w:rFonts w:cs="Arial"/>
        </w:rPr>
        <w:t xml:space="preserve">The following changes are made to the Loan Agreement </w:t>
      </w:r>
      <w:r w:rsidR="00B2597B">
        <w:rPr>
          <w:rFonts w:cs="Arial"/>
        </w:rPr>
        <w:t>that</w:t>
      </w:r>
      <w:r w:rsidR="00B2597B" w:rsidRPr="00D1175A">
        <w:rPr>
          <w:rFonts w:cs="Arial"/>
        </w:rPr>
        <w:t xml:space="preserve"> </w:t>
      </w:r>
      <w:r w:rsidRPr="00D1175A">
        <w:rPr>
          <w:rFonts w:cs="Arial"/>
        </w:rPr>
        <w:t>precedes this Rider:</w:t>
      </w:r>
    </w:p>
    <w:p w14:paraId="79D69B1C" w14:textId="78B5AC0B" w:rsidR="00FB35BC" w:rsidRDefault="00FB35BC" w:rsidP="00814CA3">
      <w:pPr>
        <w:shd w:val="clear" w:color="auto" w:fill="FFFFFF"/>
        <w:tabs>
          <w:tab w:val="left" w:pos="720"/>
          <w:tab w:val="left" w:pos="1080"/>
          <w:tab w:val="left" w:pos="1440"/>
        </w:tabs>
        <w:rPr>
          <w:rFonts w:cs="Arial"/>
        </w:rPr>
      </w:pPr>
    </w:p>
    <w:p w14:paraId="1F4B0D84" w14:textId="07A8FB19" w:rsidR="009C1734" w:rsidRDefault="00B2597B" w:rsidP="003B2B06">
      <w:pPr>
        <w:tabs>
          <w:tab w:val="left" w:pos="-1440"/>
          <w:tab w:val="left" w:pos="-720"/>
          <w:tab w:val="left" w:pos="720"/>
          <w:tab w:val="left" w:pos="2880"/>
          <w:tab w:val="left" w:pos="3600"/>
          <w:tab w:val="left" w:pos="4320"/>
          <w:tab w:val="left" w:pos="5040"/>
          <w:tab w:val="left" w:pos="5760"/>
          <w:tab w:val="left" w:pos="6340"/>
          <w:tab w:val="left" w:pos="6480"/>
        </w:tabs>
        <w:suppressAutoHyphens/>
        <w:rPr>
          <w:rFonts w:cs="Arial"/>
        </w:rPr>
      </w:pPr>
      <w:r>
        <w:rPr>
          <w:rFonts w:cs="Arial"/>
        </w:rPr>
        <w:t>A.</w:t>
      </w:r>
      <w:r>
        <w:rPr>
          <w:rFonts w:cs="Arial"/>
        </w:rPr>
        <w:tab/>
        <w:t>The following table is added to Section 1.05:</w:t>
      </w:r>
    </w:p>
    <w:p w14:paraId="18245F44" w14:textId="57066C4E" w:rsidR="00B2597B" w:rsidRDefault="00B2597B" w:rsidP="00D1175A">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98"/>
        <w:gridCol w:w="9367"/>
      </w:tblGrid>
      <w:tr w:rsidR="00B2597B" w:rsidRPr="00441B1B" w14:paraId="0B524DB4" w14:textId="77777777" w:rsidTr="007867AD">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3FAA8237" w14:textId="77777777" w:rsidR="00B2597B" w:rsidRPr="00441B1B" w:rsidRDefault="00B2597B" w:rsidP="007867AD">
            <w:pPr>
              <w:suppressAutoHyphens/>
              <w:spacing w:before="80" w:after="80"/>
              <w:rPr>
                <w:rFonts w:cs="Arial"/>
                <w:b/>
              </w:rPr>
            </w:pPr>
            <w:r>
              <w:rPr>
                <w:rFonts w:cs="Arial"/>
                <w:b/>
              </w:rPr>
              <w:t>Tax Credit Property</w:t>
            </w:r>
          </w:p>
        </w:tc>
      </w:tr>
      <w:tr w:rsidR="00B2597B" w:rsidRPr="00441B1B" w14:paraId="7165A9B2" w14:textId="77777777" w:rsidTr="007867AD">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6F7B9E12" w14:textId="77777777" w:rsidR="00B2597B" w:rsidRPr="00441B1B" w:rsidRDefault="00B2597B" w:rsidP="007867AD">
            <w:pPr>
              <w:suppressAutoHyphens/>
              <w:jc w:val="center"/>
              <w:rPr>
                <w:rFonts w:cs="Arial"/>
                <w:b/>
              </w:rPr>
            </w:pPr>
          </w:p>
        </w:tc>
        <w:tc>
          <w:tcPr>
            <w:tcW w:w="9865" w:type="dxa"/>
            <w:gridSpan w:val="2"/>
            <w:tcBorders>
              <w:top w:val="nil"/>
              <w:bottom w:val="single" w:sz="4" w:space="0" w:color="auto"/>
            </w:tcBorders>
            <w:shd w:val="clear" w:color="auto" w:fill="auto"/>
          </w:tcPr>
          <w:p w14:paraId="746C14C4" w14:textId="7708F79C" w:rsidR="00B2597B" w:rsidRPr="00CE450D" w:rsidRDefault="00B2597B" w:rsidP="007867AD">
            <w:pPr>
              <w:suppressAutoHyphens/>
              <w:spacing w:before="80" w:after="80"/>
              <w:rPr>
                <w:rFonts w:cs="Arial"/>
                <w:bCs/>
              </w:rPr>
            </w:pPr>
            <w:r w:rsidRPr="003B2B06">
              <w:rPr>
                <w:rFonts w:cs="Arial"/>
                <w:b/>
              </w:rPr>
              <w:t xml:space="preserve">Status of </w:t>
            </w:r>
            <w:r w:rsidR="00BF4CEE">
              <w:rPr>
                <w:rFonts w:cs="Arial"/>
                <w:b/>
              </w:rPr>
              <w:t>Tax Credit Regulatory</w:t>
            </w:r>
            <w:r w:rsidRPr="003B2B06">
              <w:rPr>
                <w:rFonts w:cs="Arial"/>
                <w:b/>
              </w:rPr>
              <w:t xml:space="preserve"> Agreement</w:t>
            </w:r>
            <w:r w:rsidR="009404FA">
              <w:rPr>
                <w:rFonts w:cs="Arial"/>
                <w:bCs/>
              </w:rPr>
              <w:t xml:space="preserve"> </w:t>
            </w:r>
            <w:r w:rsidR="009404FA" w:rsidRPr="003B2B06">
              <w:rPr>
                <w:rFonts w:cs="Arial"/>
                <w:bCs/>
                <w:i/>
                <w:iCs/>
                <w:sz w:val="16"/>
                <w:szCs w:val="16"/>
              </w:rPr>
              <w:t>(choose one)</w:t>
            </w:r>
            <w:r w:rsidR="009404FA">
              <w:rPr>
                <w:rFonts w:cs="Arial"/>
                <w:bCs/>
              </w:rPr>
              <w:t>:</w:t>
            </w:r>
          </w:p>
        </w:tc>
      </w:tr>
      <w:tr w:rsidR="00B2597B" w:rsidRPr="00441B1B" w14:paraId="1866F3B2" w14:textId="77777777" w:rsidTr="007867AD">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642C13AA" w14:textId="77777777" w:rsidR="00B2597B" w:rsidRPr="00CE450D" w:rsidRDefault="00B2597B" w:rsidP="007867AD">
            <w:pPr>
              <w:suppressAutoHyphens/>
              <w:jc w:val="center"/>
              <w:rPr>
                <w:rFonts w:cs="Arial"/>
                <w:bCs/>
              </w:rPr>
            </w:pPr>
          </w:p>
        </w:tc>
        <w:tc>
          <w:tcPr>
            <w:tcW w:w="498" w:type="dxa"/>
            <w:tcBorders>
              <w:top w:val="nil"/>
              <w:bottom w:val="single" w:sz="4" w:space="0" w:color="auto"/>
            </w:tcBorders>
            <w:shd w:val="clear" w:color="auto" w:fill="auto"/>
          </w:tcPr>
          <w:p w14:paraId="09FB404C" w14:textId="77777777" w:rsidR="00B2597B" w:rsidRPr="000D767D" w:rsidRDefault="00A577A5" w:rsidP="007867AD">
            <w:pPr>
              <w:suppressAutoHyphens/>
              <w:jc w:val="center"/>
              <w:rPr>
                <w:rFonts w:cs="Arial"/>
                <w:bCs/>
              </w:rPr>
            </w:pPr>
            <w:sdt>
              <w:sdtPr>
                <w:rPr>
                  <w:rFonts w:ascii="MS Gothic" w:eastAsia="MS Gothic" w:hAnsi="MS Gothic" w:cs="Arial" w:hint="eastAsia"/>
                  <w:bCs/>
                  <w:sz w:val="28"/>
                  <w:szCs w:val="28"/>
                </w:rPr>
                <w:id w:val="1680550670"/>
                <w14:checkbox>
                  <w14:checked w14:val="0"/>
                  <w14:checkedState w14:val="2612" w14:font="MS Gothic"/>
                  <w14:uncheckedState w14:val="2610" w14:font="MS Gothic"/>
                </w14:checkbox>
              </w:sdtPr>
              <w:sdtEndPr/>
              <w:sdtContent>
                <w:r w:rsidR="00B2597B" w:rsidRPr="00D43338">
                  <w:rPr>
                    <w:rFonts w:ascii="MS Gothic" w:eastAsia="MS Gothic" w:hAnsi="MS Gothic" w:cs="Arial"/>
                    <w:bCs/>
                    <w:sz w:val="28"/>
                    <w:szCs w:val="28"/>
                  </w:rPr>
                  <w:t>☐</w:t>
                </w:r>
              </w:sdtContent>
            </w:sdt>
          </w:p>
        </w:tc>
        <w:tc>
          <w:tcPr>
            <w:tcW w:w="9367" w:type="dxa"/>
            <w:tcBorders>
              <w:top w:val="nil"/>
            </w:tcBorders>
            <w:shd w:val="clear" w:color="auto" w:fill="auto"/>
          </w:tcPr>
          <w:p w14:paraId="06DE476E" w14:textId="55381C22" w:rsidR="00B2597B" w:rsidRPr="00CE450D" w:rsidRDefault="00BF4CEE" w:rsidP="007867AD">
            <w:pPr>
              <w:suppressAutoHyphens/>
              <w:spacing w:before="80" w:after="80"/>
              <w:rPr>
                <w:rFonts w:cs="Arial"/>
                <w:bCs/>
              </w:rPr>
            </w:pPr>
            <w:r>
              <w:rPr>
                <w:rFonts w:cs="Arial"/>
                <w:bCs/>
              </w:rPr>
              <w:t>Tax Credit Regulatory</w:t>
            </w:r>
            <w:r w:rsidR="00B2597B">
              <w:rPr>
                <w:rFonts w:cs="Arial"/>
                <w:bCs/>
              </w:rPr>
              <w:t xml:space="preserve"> Agreement will not be recorded until the Mortgaged Property has been placed in service</w:t>
            </w:r>
            <w:r w:rsidR="003C6116">
              <w:rPr>
                <w:rFonts w:cs="Arial"/>
                <w:bCs/>
              </w:rPr>
              <w:t xml:space="preserve"> </w:t>
            </w:r>
            <w:r w:rsidR="009404FA">
              <w:rPr>
                <w:rFonts w:cs="Arial"/>
                <w:bCs/>
              </w:rPr>
              <w:t>(“</w:t>
            </w:r>
            <w:r w:rsidR="009404FA" w:rsidRPr="003B2B06">
              <w:rPr>
                <w:rFonts w:cs="Arial"/>
                <w:b/>
              </w:rPr>
              <w:t>Not Yet Placed in Service</w:t>
            </w:r>
            <w:r w:rsidR="009404FA">
              <w:rPr>
                <w:rFonts w:cs="Arial"/>
                <w:bCs/>
              </w:rPr>
              <w:t>”)</w:t>
            </w:r>
          </w:p>
        </w:tc>
      </w:tr>
      <w:tr w:rsidR="00B2597B" w:rsidRPr="00441B1B" w14:paraId="2C9E1CED" w14:textId="77777777" w:rsidTr="007867AD">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409FB800" w14:textId="77777777" w:rsidR="00B2597B" w:rsidRPr="00CE450D" w:rsidRDefault="00B2597B" w:rsidP="007867AD">
            <w:pPr>
              <w:suppressAutoHyphens/>
              <w:jc w:val="center"/>
              <w:rPr>
                <w:rFonts w:cs="Arial"/>
                <w:bCs/>
              </w:rPr>
            </w:pPr>
          </w:p>
        </w:tc>
        <w:tc>
          <w:tcPr>
            <w:tcW w:w="498" w:type="dxa"/>
            <w:tcBorders>
              <w:top w:val="nil"/>
              <w:bottom w:val="single" w:sz="4" w:space="0" w:color="auto"/>
            </w:tcBorders>
            <w:shd w:val="clear" w:color="auto" w:fill="auto"/>
          </w:tcPr>
          <w:p w14:paraId="4A62A4A7" w14:textId="77777777" w:rsidR="00B2597B" w:rsidRPr="000D767D" w:rsidRDefault="00A577A5" w:rsidP="007867AD">
            <w:pPr>
              <w:suppressAutoHyphens/>
              <w:jc w:val="center"/>
              <w:rPr>
                <w:rFonts w:cs="Arial"/>
                <w:bCs/>
              </w:rPr>
            </w:pPr>
            <w:sdt>
              <w:sdtPr>
                <w:rPr>
                  <w:rFonts w:ascii="MS Gothic" w:eastAsia="MS Gothic" w:hAnsi="MS Gothic" w:cs="Arial" w:hint="eastAsia"/>
                  <w:bCs/>
                  <w:sz w:val="28"/>
                  <w:szCs w:val="28"/>
                </w:rPr>
                <w:id w:val="-801391316"/>
                <w14:checkbox>
                  <w14:checked w14:val="0"/>
                  <w14:checkedState w14:val="2612" w14:font="MS Gothic"/>
                  <w14:uncheckedState w14:val="2610" w14:font="MS Gothic"/>
                </w14:checkbox>
              </w:sdtPr>
              <w:sdtEndPr/>
              <w:sdtContent>
                <w:r w:rsidR="00B2597B" w:rsidRPr="00D43338">
                  <w:rPr>
                    <w:rFonts w:ascii="MS Gothic" w:eastAsia="MS Gothic" w:hAnsi="MS Gothic" w:cs="Arial"/>
                    <w:bCs/>
                    <w:sz w:val="28"/>
                    <w:szCs w:val="28"/>
                  </w:rPr>
                  <w:t>☐</w:t>
                </w:r>
              </w:sdtContent>
            </w:sdt>
          </w:p>
        </w:tc>
        <w:tc>
          <w:tcPr>
            <w:tcW w:w="9367" w:type="dxa"/>
            <w:tcBorders>
              <w:top w:val="nil"/>
            </w:tcBorders>
            <w:shd w:val="clear" w:color="auto" w:fill="auto"/>
            <w:vAlign w:val="center"/>
          </w:tcPr>
          <w:p w14:paraId="45536D8A" w14:textId="5F8B2E50" w:rsidR="00B2597B" w:rsidRPr="00CE450D" w:rsidRDefault="00BF4CEE" w:rsidP="007867AD">
            <w:pPr>
              <w:suppressAutoHyphens/>
              <w:spacing w:before="80" w:after="80"/>
              <w:rPr>
                <w:rFonts w:cs="Arial"/>
                <w:bCs/>
              </w:rPr>
            </w:pPr>
            <w:r>
              <w:rPr>
                <w:rFonts w:cs="Arial"/>
                <w:bCs/>
              </w:rPr>
              <w:t>Tax Credit Regulatory</w:t>
            </w:r>
            <w:r w:rsidR="00B2597B" w:rsidRPr="00562E25">
              <w:rPr>
                <w:rFonts w:cs="Arial"/>
                <w:bCs/>
              </w:rPr>
              <w:t xml:space="preserve"> Agreement has been recorded or will be recorded on or prior to the Effective Date</w:t>
            </w:r>
            <w:r w:rsidR="009404FA">
              <w:rPr>
                <w:rFonts w:cs="Arial"/>
                <w:bCs/>
              </w:rPr>
              <w:t xml:space="preserve"> (“</w:t>
            </w:r>
            <w:r w:rsidR="009404FA" w:rsidRPr="003B2B06">
              <w:rPr>
                <w:rFonts w:cs="Arial"/>
                <w:b/>
              </w:rPr>
              <w:t>Recorded Regulatory Agreement</w:t>
            </w:r>
            <w:r w:rsidR="009404FA">
              <w:rPr>
                <w:rFonts w:cs="Arial"/>
                <w:bCs/>
              </w:rPr>
              <w:t>”)</w:t>
            </w:r>
          </w:p>
        </w:tc>
      </w:tr>
      <w:tr w:rsidR="00B2597B" w:rsidRPr="00441B1B" w14:paraId="3A63FB0F" w14:textId="77777777" w:rsidTr="007867AD">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48C8891D" w14:textId="77777777" w:rsidR="00B2597B" w:rsidRPr="00CE450D" w:rsidRDefault="00B2597B" w:rsidP="007867AD">
            <w:pPr>
              <w:suppressAutoHyphens/>
              <w:jc w:val="center"/>
              <w:rPr>
                <w:rFonts w:cs="Arial"/>
                <w:bCs/>
              </w:rPr>
            </w:pPr>
          </w:p>
        </w:tc>
        <w:tc>
          <w:tcPr>
            <w:tcW w:w="498" w:type="dxa"/>
            <w:tcBorders>
              <w:top w:val="nil"/>
              <w:bottom w:val="single" w:sz="4" w:space="0" w:color="auto"/>
            </w:tcBorders>
            <w:shd w:val="clear" w:color="auto" w:fill="auto"/>
          </w:tcPr>
          <w:p w14:paraId="5040EF48" w14:textId="57E31E06" w:rsidR="00B2597B" w:rsidRPr="000D767D" w:rsidRDefault="00A577A5" w:rsidP="007867AD">
            <w:pPr>
              <w:suppressAutoHyphens/>
              <w:jc w:val="center"/>
              <w:rPr>
                <w:rFonts w:cs="Arial"/>
                <w:bCs/>
              </w:rPr>
            </w:pPr>
            <w:sdt>
              <w:sdtPr>
                <w:rPr>
                  <w:rFonts w:ascii="MS Gothic" w:eastAsia="MS Gothic" w:hAnsi="MS Gothic" w:cs="Arial" w:hint="eastAsia"/>
                  <w:bCs/>
                  <w:sz w:val="28"/>
                  <w:szCs w:val="28"/>
                </w:rPr>
                <w:id w:val="-1103498056"/>
                <w14:checkbox>
                  <w14:checked w14:val="0"/>
                  <w14:checkedState w14:val="2612" w14:font="MS Gothic"/>
                  <w14:uncheckedState w14:val="2610" w14:font="MS Gothic"/>
                </w14:checkbox>
              </w:sdtPr>
              <w:sdtEndPr/>
              <w:sdtContent>
                <w:r w:rsidR="000D767D" w:rsidRPr="00D43338">
                  <w:rPr>
                    <w:rFonts w:ascii="MS Gothic" w:eastAsia="MS Gothic" w:hAnsi="MS Gothic" w:cs="Arial"/>
                    <w:bCs/>
                    <w:sz w:val="28"/>
                    <w:szCs w:val="28"/>
                  </w:rPr>
                  <w:t>☐</w:t>
                </w:r>
              </w:sdtContent>
            </w:sdt>
          </w:p>
        </w:tc>
        <w:tc>
          <w:tcPr>
            <w:tcW w:w="9367" w:type="dxa"/>
            <w:tcBorders>
              <w:top w:val="nil"/>
            </w:tcBorders>
            <w:shd w:val="clear" w:color="auto" w:fill="auto"/>
          </w:tcPr>
          <w:p w14:paraId="66287D83" w14:textId="7267F51E" w:rsidR="00B2597B" w:rsidRPr="00CE450D" w:rsidRDefault="00BF4CEE" w:rsidP="007867AD">
            <w:pPr>
              <w:suppressAutoHyphens/>
              <w:spacing w:before="80" w:after="80"/>
              <w:rPr>
                <w:rFonts w:cs="Arial"/>
                <w:bCs/>
              </w:rPr>
            </w:pPr>
            <w:r>
              <w:rPr>
                <w:rFonts w:cs="Arial"/>
                <w:bCs/>
              </w:rPr>
              <w:t>Tax Credit Regulatory</w:t>
            </w:r>
            <w:r w:rsidR="00B2597B" w:rsidRPr="00562E25">
              <w:rPr>
                <w:rFonts w:cs="Arial"/>
                <w:bCs/>
              </w:rPr>
              <w:t xml:space="preserve"> Agreement has been recorded prior to the Effective Date </w:t>
            </w:r>
            <w:r w:rsidR="00B2597B" w:rsidRPr="00562E25">
              <w:rPr>
                <w:rFonts w:cs="Arial"/>
                <w:bCs/>
                <w:u w:val="single"/>
              </w:rPr>
              <w:t>and</w:t>
            </w:r>
            <w:r w:rsidR="00B2597B" w:rsidRPr="00562E25">
              <w:rPr>
                <w:rFonts w:cs="Arial"/>
                <w:bCs/>
              </w:rPr>
              <w:t xml:space="preserve"> a </w:t>
            </w:r>
            <w:r w:rsidR="00B2597B">
              <w:rPr>
                <w:rFonts w:cs="Arial"/>
                <w:bCs/>
              </w:rPr>
              <w:t xml:space="preserve">replacement </w:t>
            </w:r>
            <w:r>
              <w:rPr>
                <w:rFonts w:cs="Arial"/>
                <w:bCs/>
              </w:rPr>
              <w:t>Tax Credit Regulatory</w:t>
            </w:r>
            <w:r w:rsidR="00B2597B" w:rsidRPr="00562E25">
              <w:rPr>
                <w:rFonts w:cs="Arial"/>
                <w:bCs/>
              </w:rPr>
              <w:t xml:space="preserve"> Agreement </w:t>
            </w:r>
            <w:r w:rsidR="00B2597B">
              <w:rPr>
                <w:rFonts w:cs="Arial"/>
                <w:bCs/>
              </w:rPr>
              <w:t>will be recorded after the Effective Date</w:t>
            </w:r>
            <w:r w:rsidR="009404FA">
              <w:rPr>
                <w:rFonts w:cs="Arial"/>
                <w:bCs/>
              </w:rPr>
              <w:t xml:space="preserve"> (“</w:t>
            </w:r>
            <w:r w:rsidR="009404FA" w:rsidRPr="003B2B06">
              <w:rPr>
                <w:rFonts w:cs="Arial"/>
                <w:b/>
              </w:rPr>
              <w:t>Recorded but to be Replaced Regulatory Agreement</w:t>
            </w:r>
            <w:r w:rsidR="009404FA">
              <w:rPr>
                <w:rFonts w:cs="Arial"/>
                <w:bCs/>
              </w:rPr>
              <w:t>”)</w:t>
            </w:r>
          </w:p>
        </w:tc>
      </w:tr>
      <w:tr w:rsidR="00B2597B" w:rsidRPr="00441B1B" w14:paraId="57473EFC" w14:textId="77777777" w:rsidTr="007867AD">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28A33A94" w14:textId="77777777" w:rsidR="00B2597B" w:rsidRPr="00CE450D" w:rsidRDefault="00B2597B" w:rsidP="007867AD">
            <w:pPr>
              <w:suppressAutoHyphens/>
              <w:jc w:val="center"/>
              <w:rPr>
                <w:rFonts w:cs="Arial"/>
                <w:bCs/>
              </w:rPr>
            </w:pPr>
          </w:p>
        </w:tc>
        <w:tc>
          <w:tcPr>
            <w:tcW w:w="9865" w:type="dxa"/>
            <w:gridSpan w:val="2"/>
            <w:tcBorders>
              <w:top w:val="nil"/>
              <w:bottom w:val="single" w:sz="4" w:space="0" w:color="auto"/>
            </w:tcBorders>
            <w:shd w:val="clear" w:color="auto" w:fill="auto"/>
          </w:tcPr>
          <w:p w14:paraId="190B0839" w14:textId="24D8BCD7" w:rsidR="00B2597B" w:rsidRPr="00BB34E6" w:rsidRDefault="00B2597B" w:rsidP="007867AD">
            <w:pPr>
              <w:suppressAutoHyphens/>
              <w:spacing w:before="80" w:after="80"/>
              <w:rPr>
                <w:rFonts w:cs="Arial"/>
                <w:b/>
              </w:rPr>
            </w:pPr>
            <w:r w:rsidRPr="00BB34E6">
              <w:rPr>
                <w:rFonts w:cs="Arial"/>
                <w:b/>
              </w:rPr>
              <w:t>Soft Unsecured Debt</w:t>
            </w:r>
            <w:r w:rsidR="001D2E30">
              <w:rPr>
                <w:rFonts w:cs="Arial"/>
                <w:b/>
              </w:rPr>
              <w:t xml:space="preserve"> </w:t>
            </w:r>
            <w:r w:rsidR="001D2E30" w:rsidRPr="007867AD">
              <w:rPr>
                <w:rFonts w:cs="Arial"/>
                <w:bCs/>
                <w:i/>
                <w:iCs/>
                <w:sz w:val="16"/>
                <w:szCs w:val="16"/>
              </w:rPr>
              <w:t>(choose one)</w:t>
            </w:r>
            <w:r w:rsidR="001D2E30">
              <w:rPr>
                <w:rFonts w:cs="Arial"/>
                <w:bCs/>
              </w:rPr>
              <w:t>:</w:t>
            </w:r>
          </w:p>
        </w:tc>
      </w:tr>
      <w:tr w:rsidR="00B2597B" w:rsidRPr="00441B1B" w14:paraId="591DDB35" w14:textId="77777777" w:rsidTr="007867AD">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63481FF0" w14:textId="77777777" w:rsidR="00B2597B" w:rsidRPr="00CE450D" w:rsidRDefault="00B2597B" w:rsidP="007867AD">
            <w:pPr>
              <w:suppressAutoHyphens/>
              <w:jc w:val="center"/>
              <w:rPr>
                <w:rFonts w:cs="Arial"/>
                <w:bCs/>
              </w:rPr>
            </w:pPr>
          </w:p>
        </w:tc>
        <w:tc>
          <w:tcPr>
            <w:tcW w:w="498" w:type="dxa"/>
            <w:tcBorders>
              <w:top w:val="nil"/>
              <w:bottom w:val="single" w:sz="4" w:space="0" w:color="auto"/>
            </w:tcBorders>
            <w:shd w:val="clear" w:color="auto" w:fill="auto"/>
          </w:tcPr>
          <w:p w14:paraId="60FE2496" w14:textId="7B020A47" w:rsidR="00B2597B" w:rsidRPr="00D43338" w:rsidRDefault="00A577A5" w:rsidP="007867AD">
            <w:pPr>
              <w:suppressAutoHyphens/>
              <w:jc w:val="center"/>
              <w:rPr>
                <w:rFonts w:ascii="MS Gothic" w:eastAsia="MS Gothic" w:hAnsi="MS Gothic" w:cs="Arial"/>
                <w:bCs/>
                <w:sz w:val="28"/>
                <w:szCs w:val="28"/>
              </w:rPr>
            </w:pPr>
            <w:sdt>
              <w:sdtPr>
                <w:rPr>
                  <w:rFonts w:ascii="MS Gothic" w:eastAsia="MS Gothic" w:hAnsi="MS Gothic" w:cs="Arial" w:hint="eastAsia"/>
                  <w:bCs/>
                  <w:sz w:val="28"/>
                  <w:szCs w:val="28"/>
                </w:rPr>
                <w:id w:val="1036856063"/>
                <w14:checkbox>
                  <w14:checked w14:val="0"/>
                  <w14:checkedState w14:val="2612" w14:font="MS Gothic"/>
                  <w14:uncheckedState w14:val="2610" w14:font="MS Gothic"/>
                </w14:checkbox>
              </w:sdtPr>
              <w:sdtEndPr/>
              <w:sdtContent>
                <w:r w:rsidR="000D767D" w:rsidRPr="00D43338">
                  <w:rPr>
                    <w:rFonts w:ascii="MS Gothic" w:eastAsia="MS Gothic" w:hAnsi="MS Gothic" w:cs="Arial"/>
                    <w:bCs/>
                    <w:sz w:val="28"/>
                    <w:szCs w:val="28"/>
                  </w:rPr>
                  <w:t>☐</w:t>
                </w:r>
              </w:sdtContent>
            </w:sdt>
          </w:p>
        </w:tc>
        <w:tc>
          <w:tcPr>
            <w:tcW w:w="9367" w:type="dxa"/>
            <w:tcBorders>
              <w:top w:val="nil"/>
            </w:tcBorders>
            <w:shd w:val="clear" w:color="auto" w:fill="auto"/>
          </w:tcPr>
          <w:p w14:paraId="10CE65A3" w14:textId="77777777" w:rsidR="00B2597B" w:rsidRDefault="00B2597B" w:rsidP="007867AD">
            <w:pPr>
              <w:suppressAutoHyphens/>
              <w:spacing w:before="80" w:after="80"/>
              <w:rPr>
                <w:rFonts w:cs="Arial"/>
                <w:bCs/>
              </w:rPr>
            </w:pPr>
            <w:r>
              <w:rPr>
                <w:rFonts w:cs="Arial"/>
                <w:bCs/>
              </w:rPr>
              <w:t>Permitted</w:t>
            </w:r>
          </w:p>
        </w:tc>
      </w:tr>
      <w:tr w:rsidR="00B2597B" w:rsidRPr="00441B1B" w14:paraId="51758F23" w14:textId="77777777" w:rsidTr="007867AD">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696F548C" w14:textId="77777777" w:rsidR="00B2597B" w:rsidRPr="00CE450D" w:rsidRDefault="00B2597B" w:rsidP="007867AD">
            <w:pPr>
              <w:suppressAutoHyphens/>
              <w:jc w:val="center"/>
              <w:rPr>
                <w:rFonts w:cs="Arial"/>
                <w:bCs/>
              </w:rPr>
            </w:pPr>
          </w:p>
        </w:tc>
        <w:tc>
          <w:tcPr>
            <w:tcW w:w="498" w:type="dxa"/>
            <w:tcBorders>
              <w:top w:val="nil"/>
              <w:bottom w:val="single" w:sz="4" w:space="0" w:color="auto"/>
            </w:tcBorders>
            <w:shd w:val="clear" w:color="auto" w:fill="auto"/>
          </w:tcPr>
          <w:p w14:paraId="6F0B65F5" w14:textId="77777777" w:rsidR="00B2597B" w:rsidRPr="00D43338" w:rsidRDefault="00A577A5" w:rsidP="007867AD">
            <w:pPr>
              <w:suppressAutoHyphens/>
              <w:jc w:val="center"/>
              <w:rPr>
                <w:rFonts w:ascii="MS Gothic" w:eastAsia="MS Gothic" w:hAnsi="MS Gothic" w:cs="Arial"/>
                <w:bCs/>
                <w:sz w:val="28"/>
                <w:szCs w:val="28"/>
              </w:rPr>
            </w:pPr>
            <w:sdt>
              <w:sdtPr>
                <w:rPr>
                  <w:rFonts w:ascii="MS Gothic" w:eastAsia="MS Gothic" w:hAnsi="MS Gothic" w:cs="Arial" w:hint="eastAsia"/>
                  <w:bCs/>
                  <w:sz w:val="28"/>
                  <w:szCs w:val="28"/>
                </w:rPr>
                <w:id w:val="-682813441"/>
                <w14:checkbox>
                  <w14:checked w14:val="0"/>
                  <w14:checkedState w14:val="2612" w14:font="MS Gothic"/>
                  <w14:uncheckedState w14:val="2610" w14:font="MS Gothic"/>
                </w14:checkbox>
              </w:sdtPr>
              <w:sdtEndPr/>
              <w:sdtContent>
                <w:r w:rsidR="00B2597B" w:rsidRPr="00D43338">
                  <w:rPr>
                    <w:rFonts w:ascii="MS Gothic" w:eastAsia="MS Gothic" w:hAnsi="MS Gothic" w:cs="Arial"/>
                    <w:bCs/>
                    <w:sz w:val="28"/>
                    <w:szCs w:val="28"/>
                  </w:rPr>
                  <w:t>☐</w:t>
                </w:r>
              </w:sdtContent>
            </w:sdt>
          </w:p>
        </w:tc>
        <w:tc>
          <w:tcPr>
            <w:tcW w:w="9367" w:type="dxa"/>
            <w:tcBorders>
              <w:top w:val="nil"/>
            </w:tcBorders>
            <w:shd w:val="clear" w:color="auto" w:fill="auto"/>
          </w:tcPr>
          <w:p w14:paraId="235365D0" w14:textId="77777777" w:rsidR="00B2597B" w:rsidRDefault="00B2597B" w:rsidP="007867AD">
            <w:pPr>
              <w:suppressAutoHyphens/>
              <w:spacing w:before="80" w:after="80"/>
              <w:rPr>
                <w:rFonts w:cs="Arial"/>
                <w:bCs/>
              </w:rPr>
            </w:pPr>
            <w:r>
              <w:rPr>
                <w:rFonts w:cs="Arial"/>
                <w:bCs/>
              </w:rPr>
              <w:t>Not applicable</w:t>
            </w:r>
          </w:p>
        </w:tc>
      </w:tr>
      <w:tr w:rsidR="00B2597B" w:rsidRPr="00441B1B" w14:paraId="4EAB195D" w14:textId="77777777" w:rsidTr="007867AD">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260122DC" w14:textId="77777777" w:rsidR="00B2597B" w:rsidRPr="00CE450D" w:rsidRDefault="00B2597B" w:rsidP="007867AD">
            <w:pPr>
              <w:suppressAutoHyphens/>
              <w:jc w:val="center"/>
              <w:rPr>
                <w:rFonts w:cs="Arial"/>
                <w:bCs/>
              </w:rPr>
            </w:pPr>
          </w:p>
        </w:tc>
        <w:tc>
          <w:tcPr>
            <w:tcW w:w="9865" w:type="dxa"/>
            <w:gridSpan w:val="2"/>
            <w:tcBorders>
              <w:top w:val="nil"/>
              <w:bottom w:val="single" w:sz="4" w:space="0" w:color="auto"/>
            </w:tcBorders>
            <w:shd w:val="clear" w:color="auto" w:fill="auto"/>
          </w:tcPr>
          <w:p w14:paraId="14A3100A" w14:textId="29D13C87" w:rsidR="00B2597B" w:rsidRPr="00BB34E6" w:rsidRDefault="00B2597B" w:rsidP="007867AD">
            <w:pPr>
              <w:suppressAutoHyphens/>
              <w:spacing w:before="80" w:after="80"/>
              <w:rPr>
                <w:rFonts w:cs="Arial"/>
                <w:b/>
              </w:rPr>
            </w:pPr>
            <w:r w:rsidRPr="00BB34E6">
              <w:rPr>
                <w:rFonts w:cs="Arial"/>
                <w:b/>
              </w:rPr>
              <w:t xml:space="preserve">Equity Investor Participant </w:t>
            </w:r>
            <w:r w:rsidR="001D2E30">
              <w:rPr>
                <w:rFonts w:cs="Arial"/>
                <w:bCs/>
              </w:rPr>
              <w:t xml:space="preserve"> </w:t>
            </w:r>
            <w:r w:rsidR="001D2E30" w:rsidRPr="007867AD">
              <w:rPr>
                <w:rFonts w:cs="Arial"/>
                <w:bCs/>
                <w:i/>
                <w:iCs/>
                <w:sz w:val="16"/>
                <w:szCs w:val="16"/>
              </w:rPr>
              <w:t>(choose one)</w:t>
            </w:r>
            <w:r w:rsidR="001D2E30">
              <w:rPr>
                <w:rFonts w:cs="Arial"/>
                <w:bCs/>
              </w:rPr>
              <w:t>:</w:t>
            </w:r>
          </w:p>
        </w:tc>
      </w:tr>
      <w:tr w:rsidR="00B2597B" w:rsidRPr="00441B1B" w14:paraId="6A4BF926" w14:textId="77777777" w:rsidTr="007867AD">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14F8D470" w14:textId="77777777" w:rsidR="00B2597B" w:rsidRPr="00CE450D" w:rsidRDefault="00B2597B" w:rsidP="007867AD">
            <w:pPr>
              <w:suppressAutoHyphens/>
              <w:jc w:val="center"/>
              <w:rPr>
                <w:rFonts w:cs="Arial"/>
                <w:bCs/>
              </w:rPr>
            </w:pPr>
          </w:p>
        </w:tc>
        <w:tc>
          <w:tcPr>
            <w:tcW w:w="498" w:type="dxa"/>
            <w:tcBorders>
              <w:top w:val="nil"/>
              <w:bottom w:val="single" w:sz="4" w:space="0" w:color="auto"/>
            </w:tcBorders>
            <w:shd w:val="clear" w:color="auto" w:fill="auto"/>
          </w:tcPr>
          <w:p w14:paraId="28FA8363" w14:textId="1B4D96D4" w:rsidR="00B2597B" w:rsidRPr="00D43338" w:rsidRDefault="00A577A5" w:rsidP="007867AD">
            <w:pPr>
              <w:suppressAutoHyphens/>
              <w:jc w:val="center"/>
              <w:rPr>
                <w:rFonts w:ascii="MS Gothic" w:eastAsia="MS Gothic" w:hAnsi="MS Gothic" w:cs="Arial"/>
                <w:bCs/>
                <w:sz w:val="28"/>
                <w:szCs w:val="28"/>
              </w:rPr>
            </w:pPr>
            <w:sdt>
              <w:sdtPr>
                <w:rPr>
                  <w:rFonts w:ascii="MS Gothic" w:eastAsia="MS Gothic" w:hAnsi="MS Gothic" w:cs="Arial" w:hint="eastAsia"/>
                  <w:bCs/>
                  <w:sz w:val="28"/>
                  <w:szCs w:val="28"/>
                </w:rPr>
                <w:id w:val="1026521424"/>
                <w14:checkbox>
                  <w14:checked w14:val="0"/>
                  <w14:checkedState w14:val="2612" w14:font="MS Gothic"/>
                  <w14:uncheckedState w14:val="2610" w14:font="MS Gothic"/>
                </w14:checkbox>
              </w:sdtPr>
              <w:sdtEndPr/>
              <w:sdtContent>
                <w:r w:rsidR="000D767D" w:rsidRPr="00D43338">
                  <w:rPr>
                    <w:rFonts w:ascii="MS Gothic" w:eastAsia="MS Gothic" w:hAnsi="MS Gothic" w:cs="Arial"/>
                    <w:bCs/>
                    <w:sz w:val="28"/>
                    <w:szCs w:val="28"/>
                  </w:rPr>
                  <w:t>☐</w:t>
                </w:r>
              </w:sdtContent>
            </w:sdt>
          </w:p>
        </w:tc>
        <w:tc>
          <w:tcPr>
            <w:tcW w:w="9367" w:type="dxa"/>
            <w:tcBorders>
              <w:top w:val="nil"/>
            </w:tcBorders>
            <w:shd w:val="clear" w:color="auto" w:fill="auto"/>
          </w:tcPr>
          <w:p w14:paraId="2D8F375F" w14:textId="77777777" w:rsidR="00B2597B" w:rsidRDefault="00B2597B" w:rsidP="007867AD">
            <w:pPr>
              <w:suppressAutoHyphens/>
              <w:spacing w:before="80" w:after="80"/>
              <w:rPr>
                <w:rFonts w:cs="Arial"/>
                <w:bCs/>
              </w:rPr>
            </w:pPr>
            <w:r>
              <w:rPr>
                <w:rFonts w:cs="Arial"/>
                <w:bCs/>
              </w:rPr>
              <w:t>Yes</w:t>
            </w:r>
          </w:p>
        </w:tc>
      </w:tr>
      <w:tr w:rsidR="00B2597B" w:rsidRPr="00441B1B" w14:paraId="6EBFB2BA" w14:textId="77777777" w:rsidTr="007867AD">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7FA20523" w14:textId="77777777" w:rsidR="00B2597B" w:rsidRPr="00CE450D" w:rsidRDefault="00B2597B" w:rsidP="007867AD">
            <w:pPr>
              <w:suppressAutoHyphens/>
              <w:jc w:val="center"/>
              <w:rPr>
                <w:rFonts w:cs="Arial"/>
                <w:bCs/>
              </w:rPr>
            </w:pPr>
          </w:p>
        </w:tc>
        <w:tc>
          <w:tcPr>
            <w:tcW w:w="498" w:type="dxa"/>
            <w:tcBorders>
              <w:top w:val="nil"/>
              <w:bottom w:val="single" w:sz="4" w:space="0" w:color="auto"/>
            </w:tcBorders>
            <w:shd w:val="clear" w:color="auto" w:fill="auto"/>
          </w:tcPr>
          <w:p w14:paraId="05AC03DC" w14:textId="77777777" w:rsidR="00B2597B" w:rsidRPr="00D43338" w:rsidRDefault="00A577A5" w:rsidP="007867AD">
            <w:pPr>
              <w:suppressAutoHyphens/>
              <w:jc w:val="center"/>
              <w:rPr>
                <w:rFonts w:ascii="MS Gothic" w:eastAsia="MS Gothic" w:hAnsi="MS Gothic" w:cs="Arial"/>
                <w:bCs/>
                <w:sz w:val="28"/>
                <w:szCs w:val="28"/>
              </w:rPr>
            </w:pPr>
            <w:sdt>
              <w:sdtPr>
                <w:rPr>
                  <w:rFonts w:ascii="MS Gothic" w:eastAsia="MS Gothic" w:hAnsi="MS Gothic" w:cs="Arial" w:hint="eastAsia"/>
                  <w:bCs/>
                  <w:sz w:val="28"/>
                  <w:szCs w:val="28"/>
                </w:rPr>
                <w:id w:val="1163894829"/>
                <w14:checkbox>
                  <w14:checked w14:val="0"/>
                  <w14:checkedState w14:val="2612" w14:font="MS Gothic"/>
                  <w14:uncheckedState w14:val="2610" w14:font="MS Gothic"/>
                </w14:checkbox>
              </w:sdtPr>
              <w:sdtEndPr/>
              <w:sdtContent>
                <w:r w:rsidR="00B2597B" w:rsidRPr="00D43338">
                  <w:rPr>
                    <w:rFonts w:ascii="MS Gothic" w:eastAsia="MS Gothic" w:hAnsi="MS Gothic" w:cs="Arial"/>
                    <w:bCs/>
                    <w:sz w:val="28"/>
                    <w:szCs w:val="28"/>
                  </w:rPr>
                  <w:t>☐</w:t>
                </w:r>
              </w:sdtContent>
            </w:sdt>
          </w:p>
        </w:tc>
        <w:tc>
          <w:tcPr>
            <w:tcW w:w="9367" w:type="dxa"/>
            <w:tcBorders>
              <w:top w:val="nil"/>
            </w:tcBorders>
            <w:shd w:val="clear" w:color="auto" w:fill="auto"/>
          </w:tcPr>
          <w:p w14:paraId="331CB104" w14:textId="77777777" w:rsidR="00B2597B" w:rsidRDefault="00B2597B" w:rsidP="007867AD">
            <w:pPr>
              <w:suppressAutoHyphens/>
              <w:spacing w:before="80" w:after="80"/>
              <w:rPr>
                <w:rFonts w:cs="Arial"/>
                <w:bCs/>
              </w:rPr>
            </w:pPr>
            <w:r>
              <w:rPr>
                <w:rFonts w:cs="Arial"/>
                <w:bCs/>
              </w:rPr>
              <w:t>Not applicable</w:t>
            </w:r>
          </w:p>
        </w:tc>
      </w:tr>
      <w:tr w:rsidR="00B2597B" w:rsidRPr="00441B1B" w14:paraId="528608A0" w14:textId="77777777" w:rsidTr="007867AD">
        <w:tblPrEx>
          <w:tblLook w:val="0000" w:firstRow="0" w:lastRow="0" w:firstColumn="0" w:lastColumn="0" w:noHBand="0" w:noVBand="0"/>
        </w:tblPrEx>
        <w:trPr>
          <w:trHeight w:val="80"/>
        </w:trPr>
        <w:tc>
          <w:tcPr>
            <w:tcW w:w="10265" w:type="dxa"/>
            <w:gridSpan w:val="3"/>
            <w:vAlign w:val="center"/>
          </w:tcPr>
          <w:p w14:paraId="4B388653" w14:textId="5FD07C5E" w:rsidR="00B2597B" w:rsidRPr="004A12F3" w:rsidRDefault="00B2597B" w:rsidP="007867AD">
            <w:pPr>
              <w:suppressAutoHyphens/>
              <w:rPr>
                <w:rFonts w:cs="Arial"/>
                <w:i/>
                <w:sz w:val="16"/>
                <w:szCs w:val="16"/>
              </w:rPr>
            </w:pPr>
            <w:r w:rsidRPr="004A12F3">
              <w:rPr>
                <w:rFonts w:cs="Arial"/>
                <w:i/>
                <w:sz w:val="16"/>
                <w:szCs w:val="16"/>
              </w:rPr>
              <w:t>(See Section</w:t>
            </w:r>
            <w:r>
              <w:rPr>
                <w:rFonts w:cs="Arial"/>
                <w:i/>
                <w:sz w:val="16"/>
                <w:szCs w:val="16"/>
              </w:rPr>
              <w:t>s </w:t>
            </w:r>
            <w:r w:rsidR="00627761">
              <w:rPr>
                <w:rFonts w:cs="Arial"/>
                <w:i/>
                <w:sz w:val="16"/>
                <w:szCs w:val="16"/>
              </w:rPr>
              <w:t xml:space="preserve">3.03, </w:t>
            </w:r>
            <w:r>
              <w:rPr>
                <w:rFonts w:cs="Arial"/>
                <w:i/>
                <w:sz w:val="16"/>
                <w:szCs w:val="16"/>
              </w:rPr>
              <w:t>5.44</w:t>
            </w:r>
            <w:r w:rsidRPr="004A12F3">
              <w:rPr>
                <w:rFonts w:cs="Arial"/>
                <w:i/>
                <w:sz w:val="16"/>
                <w:szCs w:val="16"/>
              </w:rPr>
              <w:t xml:space="preserve">, </w:t>
            </w:r>
            <w:r>
              <w:rPr>
                <w:rFonts w:cs="Arial"/>
                <w:i/>
                <w:sz w:val="16"/>
                <w:szCs w:val="16"/>
              </w:rPr>
              <w:t>6.13, and Article VII)</w:t>
            </w:r>
            <w:r w:rsidRPr="004A12F3">
              <w:rPr>
                <w:rFonts w:cs="Arial"/>
                <w:i/>
                <w:sz w:val="16"/>
                <w:szCs w:val="16"/>
              </w:rPr>
              <w:t xml:space="preserve"> </w:t>
            </w:r>
          </w:p>
        </w:tc>
      </w:tr>
    </w:tbl>
    <w:p w14:paraId="2C75D649" w14:textId="77777777" w:rsidR="00B2597B" w:rsidRDefault="00B2597B" w:rsidP="00D1175A">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0F11F2D5" w14:textId="3F9D5AF7" w:rsidR="00A133AC" w:rsidRPr="00FB35BC" w:rsidRDefault="003C6116" w:rsidP="00A133AC">
      <w:pPr>
        <w:pStyle w:val="SmallLoanDocModReq"/>
        <w:ind w:left="720" w:hanging="720"/>
        <w:rPr>
          <w:rFonts w:ascii="Arial" w:hAnsi="Arial" w:cs="Arial"/>
          <w:sz w:val="20"/>
        </w:rPr>
      </w:pPr>
      <w:r>
        <w:rPr>
          <w:rFonts w:ascii="Arial" w:hAnsi="Arial" w:cs="Arial"/>
          <w:sz w:val="20"/>
        </w:rPr>
        <w:t>B</w:t>
      </w:r>
      <w:r w:rsidR="00A133AC" w:rsidRPr="00FB35BC">
        <w:rPr>
          <w:rFonts w:ascii="Arial" w:hAnsi="Arial" w:cs="Arial"/>
          <w:sz w:val="20"/>
        </w:rPr>
        <w:t>.</w:t>
      </w:r>
      <w:r w:rsidR="00A133AC" w:rsidRPr="00FB35BC">
        <w:rPr>
          <w:rFonts w:ascii="Arial" w:hAnsi="Arial" w:cs="Arial"/>
          <w:sz w:val="20"/>
        </w:rPr>
        <w:tab/>
        <w:t>Section 3.03(</w:t>
      </w:r>
      <w:r w:rsidR="000D54A7">
        <w:rPr>
          <w:rFonts w:ascii="Arial" w:hAnsi="Arial" w:cs="Arial"/>
          <w:sz w:val="20"/>
        </w:rPr>
        <w:t>x</w:t>
      </w:r>
      <w:r w:rsidR="00A133AC" w:rsidRPr="00FB35BC">
        <w:rPr>
          <w:rFonts w:ascii="Arial" w:hAnsi="Arial" w:cs="Arial"/>
          <w:sz w:val="20"/>
        </w:rPr>
        <w:t>) is deleted and replaced with the following:</w:t>
      </w:r>
    </w:p>
    <w:p w14:paraId="3E9D863C" w14:textId="77777777" w:rsidR="00A133AC" w:rsidRPr="00FB35BC" w:rsidRDefault="00A133AC" w:rsidP="00A133AC">
      <w:pPr>
        <w:pStyle w:val="SmallLoanDocModReq"/>
        <w:ind w:left="720" w:hanging="720"/>
        <w:rPr>
          <w:rFonts w:ascii="Arial" w:hAnsi="Arial" w:cs="Arial"/>
          <w:sz w:val="20"/>
        </w:rPr>
      </w:pPr>
    </w:p>
    <w:p w14:paraId="3C336FC2" w14:textId="51E79A3E" w:rsidR="00A133AC" w:rsidRPr="00FB35BC" w:rsidRDefault="00A133AC" w:rsidP="00A133AC">
      <w:pPr>
        <w:pStyle w:val="ExDStdProvsNormal"/>
        <w:ind w:left="1440" w:hanging="720"/>
        <w:rPr>
          <w:rFonts w:ascii="Arial" w:hAnsi="Arial" w:cs="Arial"/>
          <w:sz w:val="20"/>
          <w:szCs w:val="20"/>
        </w:rPr>
      </w:pPr>
      <w:bookmarkStart w:id="0" w:name="_Hlk99707165"/>
      <w:r w:rsidRPr="00FB35BC">
        <w:rPr>
          <w:rFonts w:ascii="Arial" w:hAnsi="Arial" w:cs="Arial"/>
          <w:sz w:val="20"/>
          <w:szCs w:val="20"/>
        </w:rPr>
        <w:t>(</w:t>
      </w:r>
      <w:r w:rsidR="000D54A7">
        <w:rPr>
          <w:rFonts w:ascii="Arial" w:hAnsi="Arial" w:cs="Arial"/>
          <w:sz w:val="20"/>
          <w:szCs w:val="20"/>
        </w:rPr>
        <w:t>x</w:t>
      </w:r>
      <w:r w:rsidRPr="00FB35BC">
        <w:rPr>
          <w:rFonts w:ascii="Arial" w:hAnsi="Arial" w:cs="Arial"/>
          <w:sz w:val="20"/>
          <w:szCs w:val="20"/>
        </w:rPr>
        <w:t>)</w:t>
      </w:r>
      <w:r w:rsidRPr="00FB35BC">
        <w:rPr>
          <w:rFonts w:ascii="Arial" w:hAnsi="Arial" w:cs="Arial"/>
          <w:sz w:val="20"/>
          <w:szCs w:val="20"/>
        </w:rPr>
        <w:tab/>
        <w:t>A default, event of default, or breach (however such terms may be defined in the Tax Credit Regulatory Agreement) occurs</w:t>
      </w:r>
      <w:r w:rsidR="00C165C8">
        <w:rPr>
          <w:rFonts w:ascii="Arial" w:hAnsi="Arial" w:cs="Arial"/>
          <w:sz w:val="20"/>
          <w:szCs w:val="20"/>
        </w:rPr>
        <w:t xml:space="preserve"> after the expiration of</w:t>
      </w:r>
      <w:r w:rsidRPr="00FB35BC">
        <w:rPr>
          <w:rFonts w:ascii="Arial" w:hAnsi="Arial" w:cs="Arial"/>
          <w:sz w:val="20"/>
          <w:szCs w:val="20"/>
        </w:rPr>
        <w:t xml:space="preserve"> any applicable notice and/or cure periods </w:t>
      </w:r>
      <w:r w:rsidR="00C165C8">
        <w:rPr>
          <w:rFonts w:ascii="Arial" w:hAnsi="Arial" w:cs="Arial"/>
          <w:sz w:val="20"/>
          <w:szCs w:val="20"/>
        </w:rPr>
        <w:t>under the Tax Credit Regulatory Agreement</w:t>
      </w:r>
      <w:r w:rsidRPr="00FB35BC">
        <w:rPr>
          <w:rFonts w:ascii="Arial" w:hAnsi="Arial" w:cs="Arial"/>
          <w:sz w:val="20"/>
          <w:szCs w:val="20"/>
        </w:rPr>
        <w:t>.</w:t>
      </w:r>
    </w:p>
    <w:bookmarkEnd w:id="0"/>
    <w:p w14:paraId="34173B4B" w14:textId="77777777" w:rsidR="00A133AC" w:rsidRDefault="00A133AC" w:rsidP="00D1175A">
      <w:pPr>
        <w:ind w:left="720" w:hanging="720"/>
        <w:rPr>
          <w:rFonts w:cs="Arial"/>
          <w:bCs/>
        </w:rPr>
      </w:pPr>
    </w:p>
    <w:p w14:paraId="64663162" w14:textId="35B5594D" w:rsidR="00D1175A" w:rsidRPr="00D1175A" w:rsidRDefault="009404FA" w:rsidP="00D1175A">
      <w:pPr>
        <w:ind w:left="720" w:hanging="720"/>
        <w:rPr>
          <w:rFonts w:cs="Arial"/>
          <w:bCs/>
        </w:rPr>
      </w:pPr>
      <w:r>
        <w:rPr>
          <w:rFonts w:cs="Arial"/>
          <w:bCs/>
        </w:rPr>
        <w:t>C</w:t>
      </w:r>
      <w:r w:rsidR="00D1175A" w:rsidRPr="00D1175A">
        <w:rPr>
          <w:rFonts w:cs="Arial"/>
          <w:bCs/>
        </w:rPr>
        <w:t>.</w:t>
      </w:r>
      <w:r w:rsidR="00D1175A" w:rsidRPr="00D1175A">
        <w:rPr>
          <w:rFonts w:cs="Arial"/>
          <w:bCs/>
        </w:rPr>
        <w:tab/>
        <w:t xml:space="preserve">Section 5.44 is deleted and replaced with the following: </w:t>
      </w:r>
    </w:p>
    <w:p w14:paraId="3F816F3E" w14:textId="77777777" w:rsidR="00D1175A" w:rsidRPr="00D1175A" w:rsidRDefault="00D1175A" w:rsidP="00D1175A">
      <w:pPr>
        <w:ind w:left="720" w:hanging="720"/>
        <w:rPr>
          <w:rFonts w:cs="Arial"/>
          <w:bCs/>
        </w:rPr>
      </w:pPr>
    </w:p>
    <w:p w14:paraId="5BE918CE" w14:textId="77777777" w:rsidR="00A133AC" w:rsidRDefault="00D1175A" w:rsidP="00D1175A">
      <w:pPr>
        <w:ind w:left="1440" w:hanging="720"/>
        <w:rPr>
          <w:rFonts w:cs="Arial"/>
          <w:bCs/>
        </w:rPr>
      </w:pPr>
      <w:r w:rsidRPr="00D1175A">
        <w:rPr>
          <w:rFonts w:cs="Arial"/>
          <w:b/>
          <w:bCs/>
        </w:rPr>
        <w:t>5.44</w:t>
      </w:r>
      <w:r w:rsidRPr="00D1175A">
        <w:rPr>
          <w:rFonts w:cs="Arial"/>
          <w:b/>
          <w:bCs/>
        </w:rPr>
        <w:tab/>
        <w:t>Low Income Housing Tax Credit Regulatory Agreement</w:t>
      </w:r>
      <w:r w:rsidRPr="00D1175A">
        <w:rPr>
          <w:rFonts w:cs="Arial"/>
          <w:bCs/>
        </w:rPr>
        <w:t xml:space="preserve">. </w:t>
      </w:r>
    </w:p>
    <w:p w14:paraId="24F6D644" w14:textId="77777777" w:rsidR="00A133AC" w:rsidRDefault="00A133AC" w:rsidP="00D1175A">
      <w:pPr>
        <w:ind w:left="1440" w:hanging="720"/>
        <w:rPr>
          <w:rFonts w:cs="Arial"/>
          <w:bCs/>
        </w:rPr>
      </w:pPr>
    </w:p>
    <w:p w14:paraId="639573EA" w14:textId="20A80507" w:rsidR="00D1175A" w:rsidRPr="00D1175A" w:rsidRDefault="00A133AC" w:rsidP="00A133AC">
      <w:pPr>
        <w:ind w:left="2160" w:hanging="720"/>
        <w:rPr>
          <w:rFonts w:cs="Arial"/>
          <w:bCs/>
        </w:rPr>
      </w:pPr>
      <w:r w:rsidRPr="00A133AC">
        <w:rPr>
          <w:rFonts w:cs="Arial"/>
          <w:bCs/>
        </w:rPr>
        <w:t>(a)</w:t>
      </w:r>
      <w:r w:rsidRPr="00A133AC">
        <w:rPr>
          <w:rFonts w:cs="Arial"/>
          <w:bCs/>
        </w:rPr>
        <w:tab/>
      </w:r>
      <w:r w:rsidR="009404FA">
        <w:rPr>
          <w:rFonts w:cs="Arial"/>
          <w:bCs/>
        </w:rPr>
        <w:t>If “</w:t>
      </w:r>
      <w:r w:rsidR="009404FA" w:rsidRPr="003B2B06">
        <w:rPr>
          <w:rFonts w:cs="Arial"/>
          <w:b/>
        </w:rPr>
        <w:t>Not Yet Placed in Service</w:t>
      </w:r>
      <w:r w:rsidR="009404FA">
        <w:rPr>
          <w:rFonts w:cs="Arial"/>
          <w:bCs/>
        </w:rPr>
        <w:t xml:space="preserve">” is selected in Section 1.05, then </w:t>
      </w:r>
      <w:r w:rsidRPr="00A133AC">
        <w:rPr>
          <w:rFonts w:cs="Arial"/>
          <w:bCs/>
        </w:rPr>
        <w:t>Borrower has been awarded Tax Credits</w:t>
      </w:r>
      <w:r w:rsidR="009404FA">
        <w:rPr>
          <w:rFonts w:cs="Arial"/>
          <w:bCs/>
        </w:rPr>
        <w:t>,</w:t>
      </w:r>
      <w:r w:rsidRPr="00A133AC">
        <w:rPr>
          <w:rFonts w:cs="Arial"/>
          <w:bCs/>
        </w:rPr>
        <w:t xml:space="preserve"> but the </w:t>
      </w:r>
      <w:r w:rsidR="00BF4CEE">
        <w:rPr>
          <w:rFonts w:cs="Arial"/>
          <w:bCs/>
        </w:rPr>
        <w:t>Tax Credit Regulatory</w:t>
      </w:r>
      <w:r w:rsidRPr="00A133AC">
        <w:rPr>
          <w:rFonts w:cs="Arial"/>
          <w:bCs/>
        </w:rPr>
        <w:t xml:space="preserve"> Agreement will not be recorded until the Mortgaged Property has been placed in service</w:t>
      </w:r>
      <w:r w:rsidR="009404FA">
        <w:rPr>
          <w:rFonts w:cs="Arial"/>
          <w:bCs/>
        </w:rPr>
        <w:t xml:space="preserve">. </w:t>
      </w:r>
      <w:r w:rsidR="00D1175A" w:rsidRPr="00D1175A">
        <w:rPr>
          <w:rFonts w:cs="Arial"/>
          <w:bCs/>
        </w:rPr>
        <w:t xml:space="preserve">Borrower represents and warrants that </w:t>
      </w:r>
      <w:r w:rsidR="00EF3992" w:rsidRPr="00D1175A">
        <w:rPr>
          <w:rFonts w:cs="Arial"/>
          <w:bCs/>
        </w:rPr>
        <w:t>all</w:t>
      </w:r>
      <w:r w:rsidR="00D1175A" w:rsidRPr="00D1175A">
        <w:rPr>
          <w:rFonts w:cs="Arial"/>
          <w:bCs/>
        </w:rPr>
        <w:t xml:space="preserve"> the following are correct:</w:t>
      </w:r>
    </w:p>
    <w:p w14:paraId="03D05277" w14:textId="77777777" w:rsidR="00EF3992" w:rsidRPr="00A133AC" w:rsidRDefault="00EF3992" w:rsidP="00A133AC">
      <w:pPr>
        <w:rPr>
          <w:rFonts w:cs="Arial"/>
          <w:bCs/>
        </w:rPr>
      </w:pPr>
    </w:p>
    <w:p w14:paraId="49907351" w14:textId="3F2E8D81" w:rsidR="00D1175A" w:rsidRDefault="00EF3992" w:rsidP="00A133AC">
      <w:pPr>
        <w:pStyle w:val="ListParagraph"/>
        <w:ind w:left="2880" w:hanging="720"/>
        <w:rPr>
          <w:rFonts w:cs="Arial"/>
          <w:bCs/>
        </w:rPr>
      </w:pPr>
      <w:r>
        <w:rPr>
          <w:rFonts w:cs="Arial"/>
          <w:bCs/>
        </w:rPr>
        <w:t>(i)</w:t>
      </w:r>
      <w:r>
        <w:rPr>
          <w:rFonts w:cs="Arial"/>
          <w:bCs/>
        </w:rPr>
        <w:tab/>
      </w:r>
      <w:r w:rsidR="00D1175A" w:rsidRPr="00A133AC">
        <w:rPr>
          <w:rFonts w:cs="Arial"/>
          <w:bCs/>
        </w:rPr>
        <w:t>Borrower is in compliance with all requirements of the application to receive an allocation of Tax Credits (“</w:t>
      </w:r>
      <w:r w:rsidR="00D1175A" w:rsidRPr="00A133AC">
        <w:rPr>
          <w:rFonts w:cs="Arial"/>
          <w:b/>
          <w:bCs/>
        </w:rPr>
        <w:t>Tax Credit</w:t>
      </w:r>
      <w:r w:rsidR="00D1175A" w:rsidRPr="00A133AC">
        <w:rPr>
          <w:rFonts w:cs="Arial"/>
          <w:bCs/>
        </w:rPr>
        <w:t xml:space="preserve"> </w:t>
      </w:r>
      <w:r w:rsidR="00D1175A" w:rsidRPr="00A133AC">
        <w:rPr>
          <w:rFonts w:cs="Arial"/>
          <w:b/>
          <w:bCs/>
        </w:rPr>
        <w:t>Application</w:t>
      </w:r>
      <w:r w:rsidR="00D1175A" w:rsidRPr="00A133AC">
        <w:rPr>
          <w:rFonts w:cs="Arial"/>
          <w:bCs/>
        </w:rPr>
        <w:t>”). Borrower has not received any notice from the Tax Credit Agency that Borrower is in default under the Tax Credit Application or that the Tax Credit Agency will not issue and record a Tax Credit Regulatory Agreement when the Mortgaged Property is placed in service.</w:t>
      </w:r>
    </w:p>
    <w:p w14:paraId="77F756C4" w14:textId="66C8934A" w:rsidR="00A133AC" w:rsidRDefault="00A133AC" w:rsidP="00A133AC">
      <w:pPr>
        <w:pStyle w:val="ListParagraph"/>
        <w:ind w:left="2880" w:hanging="720"/>
        <w:rPr>
          <w:rFonts w:cs="Arial"/>
          <w:bCs/>
        </w:rPr>
      </w:pPr>
    </w:p>
    <w:p w14:paraId="5C6EFD5B" w14:textId="4C52B980" w:rsidR="00D1175A" w:rsidRPr="00D1175A" w:rsidRDefault="00A133AC" w:rsidP="00A133AC">
      <w:pPr>
        <w:pStyle w:val="ListParagraph"/>
        <w:ind w:left="2880" w:hanging="720"/>
        <w:rPr>
          <w:rFonts w:cs="Arial"/>
        </w:rPr>
      </w:pPr>
      <w:r>
        <w:rPr>
          <w:rFonts w:cs="Arial"/>
          <w:bCs/>
        </w:rPr>
        <w:lastRenderedPageBreak/>
        <w:t>(ii)</w:t>
      </w:r>
      <w:r>
        <w:rPr>
          <w:rFonts w:cs="Arial"/>
          <w:bCs/>
        </w:rPr>
        <w:tab/>
      </w:r>
      <w:r w:rsidR="00D1175A" w:rsidRPr="00D1175A">
        <w:rPr>
          <w:rFonts w:cs="Arial"/>
        </w:rPr>
        <w:t>The copy of the Tax Credit Application Borrower has provided to Lender includes all amendments, schedules</w:t>
      </w:r>
      <w:r w:rsidR="009C1734">
        <w:rPr>
          <w:rFonts w:cs="Arial"/>
        </w:rPr>
        <w:t>,</w:t>
      </w:r>
      <w:r w:rsidR="00D1175A" w:rsidRPr="00D1175A">
        <w:rPr>
          <w:rFonts w:cs="Arial"/>
        </w:rPr>
        <w:t xml:space="preserve"> and exhibits and is complete and accurate in all respects.</w:t>
      </w:r>
    </w:p>
    <w:p w14:paraId="28FA842C" w14:textId="77777777" w:rsidR="00D1175A" w:rsidRPr="00D1175A" w:rsidRDefault="00D1175A" w:rsidP="00D1175A">
      <w:pPr>
        <w:pStyle w:val="ListParagraph"/>
        <w:rPr>
          <w:rFonts w:cs="Arial"/>
        </w:rPr>
      </w:pPr>
    </w:p>
    <w:p w14:paraId="0AE138C3" w14:textId="68D5B342" w:rsidR="00A133AC" w:rsidRPr="00D1175A" w:rsidRDefault="00A133AC" w:rsidP="00A133AC">
      <w:pPr>
        <w:ind w:left="2160" w:hanging="720"/>
        <w:rPr>
          <w:rFonts w:cs="Arial"/>
          <w:bCs/>
        </w:rPr>
      </w:pPr>
      <w:r w:rsidRPr="00A133AC">
        <w:rPr>
          <w:rFonts w:cs="Arial"/>
          <w:bCs/>
        </w:rPr>
        <w:t>(</w:t>
      </w:r>
      <w:r>
        <w:rPr>
          <w:rFonts w:cs="Arial"/>
          <w:bCs/>
        </w:rPr>
        <w:t>b</w:t>
      </w:r>
      <w:r w:rsidRPr="00A133AC">
        <w:rPr>
          <w:rFonts w:cs="Arial"/>
          <w:bCs/>
        </w:rPr>
        <w:t>)</w:t>
      </w:r>
      <w:r w:rsidRPr="00A133AC">
        <w:rPr>
          <w:rFonts w:cs="Arial"/>
          <w:bCs/>
        </w:rPr>
        <w:tab/>
        <w:t xml:space="preserve">If </w:t>
      </w:r>
      <w:r w:rsidR="009404FA">
        <w:rPr>
          <w:rFonts w:cs="Arial"/>
          <w:bCs/>
        </w:rPr>
        <w:t>“</w:t>
      </w:r>
      <w:r w:rsidR="009404FA" w:rsidRPr="003B2B06">
        <w:rPr>
          <w:rFonts w:cs="Arial"/>
          <w:b/>
        </w:rPr>
        <w:t>Recorded Regulatory Agreement</w:t>
      </w:r>
      <w:r w:rsidR="009404FA">
        <w:rPr>
          <w:rFonts w:cs="Arial"/>
          <w:bCs/>
        </w:rPr>
        <w:t xml:space="preserve">” is selected in Section 1.05, then </w:t>
      </w:r>
      <w:r w:rsidRPr="00A133AC">
        <w:rPr>
          <w:rFonts w:cs="Arial"/>
          <w:bCs/>
        </w:rPr>
        <w:t xml:space="preserve">Borrower has been awarded Tax Credits </w:t>
      </w:r>
      <w:r>
        <w:rPr>
          <w:rFonts w:cs="Arial"/>
          <w:bCs/>
        </w:rPr>
        <w:t>and</w:t>
      </w:r>
      <w:r w:rsidRPr="00A133AC">
        <w:rPr>
          <w:rFonts w:cs="Arial"/>
          <w:bCs/>
        </w:rPr>
        <w:t xml:space="preserve"> the </w:t>
      </w:r>
      <w:r w:rsidR="00BF4CEE">
        <w:rPr>
          <w:rFonts w:cs="Arial"/>
          <w:bCs/>
        </w:rPr>
        <w:t>Tax Credit Regulatory</w:t>
      </w:r>
      <w:r w:rsidRPr="00A133AC">
        <w:rPr>
          <w:rFonts w:cs="Arial"/>
          <w:bCs/>
        </w:rPr>
        <w:t xml:space="preserve"> Agreement </w:t>
      </w:r>
      <w:r>
        <w:rPr>
          <w:rFonts w:cs="Arial"/>
          <w:bCs/>
        </w:rPr>
        <w:t>has been recorded or will be recorded on or prior to the Effective Date</w:t>
      </w:r>
      <w:r w:rsidR="009404FA">
        <w:rPr>
          <w:rFonts w:cs="Arial"/>
          <w:bCs/>
        </w:rPr>
        <w:t xml:space="preserve">. </w:t>
      </w:r>
      <w:r w:rsidRPr="00D1175A">
        <w:rPr>
          <w:rFonts w:cs="Arial"/>
          <w:bCs/>
        </w:rPr>
        <w:t>Borrower represents and warrants that all the following are correct:</w:t>
      </w:r>
    </w:p>
    <w:p w14:paraId="6B627849" w14:textId="77777777" w:rsidR="00D1175A" w:rsidRPr="00D1175A" w:rsidRDefault="00D1175A" w:rsidP="00D1175A">
      <w:pPr>
        <w:ind w:left="1440"/>
        <w:rPr>
          <w:rFonts w:cs="Arial"/>
          <w:b/>
        </w:rPr>
      </w:pPr>
    </w:p>
    <w:p w14:paraId="19B6C924" w14:textId="5EAF2636" w:rsidR="00D1175A" w:rsidRPr="00D1175A" w:rsidRDefault="00A133AC" w:rsidP="00A133AC">
      <w:pPr>
        <w:ind w:left="2880" w:hanging="720"/>
        <w:rPr>
          <w:rFonts w:cs="Arial"/>
        </w:rPr>
      </w:pPr>
      <w:r>
        <w:rPr>
          <w:rFonts w:cs="Arial"/>
        </w:rPr>
        <w:t>(i)</w:t>
      </w:r>
      <w:r>
        <w:rPr>
          <w:rFonts w:cs="Arial"/>
        </w:rPr>
        <w:tab/>
      </w:r>
      <w:r w:rsidR="00D1175A" w:rsidRPr="00D1175A">
        <w:rPr>
          <w:rFonts w:cs="Arial"/>
        </w:rPr>
        <w:t>Borrower is in compliance with all requirements of the Tax Credit Regulatory Agreement. Borrower has not received any notice from the Tax Credit Agency that Borrower is in default under the Tax Credit Regulatory Agreement.</w:t>
      </w:r>
    </w:p>
    <w:p w14:paraId="144F1A1C" w14:textId="77777777" w:rsidR="00D1175A" w:rsidRPr="00D1175A" w:rsidRDefault="00D1175A" w:rsidP="00D1175A">
      <w:pPr>
        <w:pStyle w:val="ListParagraph"/>
        <w:rPr>
          <w:rFonts w:cs="Arial"/>
        </w:rPr>
      </w:pPr>
    </w:p>
    <w:p w14:paraId="39A96835" w14:textId="384712E6" w:rsidR="00D1175A" w:rsidRDefault="00D1175A" w:rsidP="00A133AC">
      <w:pPr>
        <w:pStyle w:val="ListParagraph"/>
        <w:ind w:left="2880" w:hanging="720"/>
        <w:rPr>
          <w:rFonts w:cs="Arial"/>
        </w:rPr>
      </w:pPr>
      <w:r w:rsidRPr="00D1175A">
        <w:rPr>
          <w:rFonts w:cs="Arial"/>
        </w:rPr>
        <w:t>(</w:t>
      </w:r>
      <w:r w:rsidR="00A133AC">
        <w:rPr>
          <w:rFonts w:cs="Arial"/>
        </w:rPr>
        <w:t>ii</w:t>
      </w:r>
      <w:r w:rsidRPr="00D1175A">
        <w:rPr>
          <w:rFonts w:cs="Arial"/>
        </w:rPr>
        <w:t>)</w:t>
      </w:r>
      <w:r w:rsidRPr="00D1175A">
        <w:rPr>
          <w:rFonts w:cs="Arial"/>
        </w:rPr>
        <w:tab/>
        <w:t>The copy of the Tax Credit Regulatory Agreement that Borrower has provided to Lender includes all amendments, schedules</w:t>
      </w:r>
      <w:r w:rsidR="009C1734">
        <w:rPr>
          <w:rFonts w:cs="Arial"/>
        </w:rPr>
        <w:t>,</w:t>
      </w:r>
      <w:r w:rsidRPr="00D1175A">
        <w:rPr>
          <w:rFonts w:cs="Arial"/>
        </w:rPr>
        <w:t xml:space="preserve"> and exhibits and is complete and accurate in all respects. </w:t>
      </w:r>
    </w:p>
    <w:p w14:paraId="19AA9D3C" w14:textId="415EC450" w:rsidR="00C93671" w:rsidRDefault="00C93671" w:rsidP="00A133AC">
      <w:pPr>
        <w:pStyle w:val="ListParagraph"/>
        <w:ind w:left="2880" w:hanging="720"/>
        <w:rPr>
          <w:rFonts w:cs="Arial"/>
        </w:rPr>
      </w:pPr>
    </w:p>
    <w:p w14:paraId="40D90E0F" w14:textId="14492E7D" w:rsidR="00C93671" w:rsidRDefault="00C93671" w:rsidP="00C93671">
      <w:pPr>
        <w:ind w:left="2160" w:hanging="720"/>
        <w:rPr>
          <w:rFonts w:cs="Arial"/>
        </w:rPr>
      </w:pPr>
      <w:bookmarkStart w:id="1" w:name="_Hlk99709527"/>
      <w:r>
        <w:rPr>
          <w:rFonts w:cs="Arial"/>
        </w:rPr>
        <w:t>(c)</w:t>
      </w:r>
      <w:r>
        <w:rPr>
          <w:rFonts w:cs="Arial"/>
        </w:rPr>
        <w:tab/>
      </w:r>
      <w:r w:rsidR="009404FA">
        <w:rPr>
          <w:rFonts w:cs="Arial"/>
        </w:rPr>
        <w:t>If “</w:t>
      </w:r>
      <w:r w:rsidR="009404FA" w:rsidRPr="003B2B06">
        <w:rPr>
          <w:rFonts w:cs="Arial"/>
          <w:b/>
          <w:bCs/>
        </w:rPr>
        <w:t>Recorded but to be Replaced Regulatory Agreement</w:t>
      </w:r>
      <w:r w:rsidR="009404FA">
        <w:rPr>
          <w:rFonts w:cs="Arial"/>
        </w:rPr>
        <w:t xml:space="preserve">” is selected in Section 1.05, then </w:t>
      </w:r>
      <w:r>
        <w:rPr>
          <w:rFonts w:cs="Arial"/>
        </w:rPr>
        <w:t xml:space="preserve">Borrower has been awarded Tax Credits and the </w:t>
      </w:r>
      <w:r w:rsidR="00BF4CEE">
        <w:rPr>
          <w:rFonts w:cs="Arial"/>
        </w:rPr>
        <w:t>Tax Credit Regulatory</w:t>
      </w:r>
      <w:r>
        <w:rPr>
          <w:rFonts w:cs="Arial"/>
        </w:rPr>
        <w:t xml:space="preserve"> Agreement has been recorded prior to the Effective Date </w:t>
      </w:r>
      <w:r w:rsidRPr="003B2B06">
        <w:rPr>
          <w:rFonts w:cs="Arial"/>
          <w:u w:val="single"/>
        </w:rPr>
        <w:t>and</w:t>
      </w:r>
      <w:r>
        <w:rPr>
          <w:rFonts w:cs="Arial"/>
        </w:rPr>
        <w:t xml:space="preserve"> Borrower has been awarded new Tax Credits under a new </w:t>
      </w:r>
      <w:r w:rsidR="00BF4CEE">
        <w:rPr>
          <w:rFonts w:cs="Arial"/>
        </w:rPr>
        <w:t>Tax Credit Regulatory</w:t>
      </w:r>
      <w:r>
        <w:rPr>
          <w:rFonts w:cs="Arial"/>
        </w:rPr>
        <w:t xml:space="preserve"> Agreement that will replace the existing </w:t>
      </w:r>
      <w:r w:rsidR="00BF4CEE">
        <w:rPr>
          <w:rFonts w:cs="Arial"/>
        </w:rPr>
        <w:t>Tax Credit Regulatory</w:t>
      </w:r>
      <w:r>
        <w:rPr>
          <w:rFonts w:cs="Arial"/>
        </w:rPr>
        <w:t xml:space="preserve"> Agreement when the new </w:t>
      </w:r>
      <w:r w:rsidR="00BF4CEE">
        <w:rPr>
          <w:rFonts w:cs="Arial"/>
        </w:rPr>
        <w:t>Tax Credit Regulatory</w:t>
      </w:r>
      <w:r>
        <w:rPr>
          <w:rFonts w:cs="Arial"/>
        </w:rPr>
        <w:t xml:space="preserve"> Agreement is recorded</w:t>
      </w:r>
      <w:r w:rsidR="009404FA">
        <w:rPr>
          <w:rFonts w:cs="Arial"/>
        </w:rPr>
        <w:t>.</w:t>
      </w:r>
      <w:r>
        <w:rPr>
          <w:rFonts w:cs="Arial"/>
        </w:rPr>
        <w:t xml:space="preserve"> Borrower represents and warrants that all of the following are correct:</w:t>
      </w:r>
    </w:p>
    <w:p w14:paraId="4B4801D2" w14:textId="77777777" w:rsidR="00C93671" w:rsidRDefault="00C93671" w:rsidP="00C93671">
      <w:pPr>
        <w:ind w:left="2160" w:hanging="720"/>
        <w:rPr>
          <w:rFonts w:cs="Arial"/>
        </w:rPr>
      </w:pPr>
    </w:p>
    <w:p w14:paraId="1BAFBAAD" w14:textId="146ADB77" w:rsidR="00C93671" w:rsidRDefault="00C93671" w:rsidP="003B2B06">
      <w:pPr>
        <w:ind w:left="2880" w:hanging="720"/>
        <w:rPr>
          <w:rFonts w:cs="Arial"/>
        </w:rPr>
      </w:pPr>
      <w:r>
        <w:rPr>
          <w:rFonts w:cs="Arial"/>
        </w:rPr>
        <w:t>(i)</w:t>
      </w:r>
      <w:r>
        <w:rPr>
          <w:rFonts w:cs="Arial"/>
        </w:rPr>
        <w:tab/>
      </w:r>
      <w:r w:rsidRPr="00C93671">
        <w:rPr>
          <w:rFonts w:cs="Arial"/>
        </w:rPr>
        <w:t>Borrower is in compliance with all requirements of the application to receive an allocation of Tax Credits (“</w:t>
      </w:r>
      <w:r w:rsidRPr="003B2B06">
        <w:rPr>
          <w:rFonts w:cs="Arial"/>
          <w:b/>
          <w:bCs/>
        </w:rPr>
        <w:t>Tax Credit Application</w:t>
      </w:r>
      <w:r w:rsidRPr="00C93671">
        <w:rPr>
          <w:rFonts w:cs="Arial"/>
        </w:rPr>
        <w:t>”) and the existing Tax Credit Regulatory Agreement. Borrower has not received any notice from the Tax Credit Agency that (</w:t>
      </w:r>
      <w:r>
        <w:rPr>
          <w:rFonts w:cs="Arial"/>
        </w:rPr>
        <w:t>A</w:t>
      </w:r>
      <w:r w:rsidRPr="00C93671">
        <w:rPr>
          <w:rFonts w:cs="Arial"/>
        </w:rPr>
        <w:t>) Borrower is in default under the Tax Credit Application, (</w:t>
      </w:r>
      <w:r>
        <w:rPr>
          <w:rFonts w:cs="Arial"/>
        </w:rPr>
        <w:t>B</w:t>
      </w:r>
      <w:r w:rsidRPr="00C93671">
        <w:rPr>
          <w:rFonts w:cs="Arial"/>
        </w:rPr>
        <w:t>) the Tax Credit Agency will not issue and record a new Tax Credit Regulatory Agreement when the Mortgaged Property is placed in service</w:t>
      </w:r>
      <w:r>
        <w:rPr>
          <w:rFonts w:cs="Arial"/>
        </w:rPr>
        <w:t>,</w:t>
      </w:r>
      <w:r w:rsidRPr="00C93671">
        <w:rPr>
          <w:rFonts w:cs="Arial"/>
        </w:rPr>
        <w:t xml:space="preserve"> or (</w:t>
      </w:r>
      <w:r>
        <w:rPr>
          <w:rFonts w:cs="Arial"/>
        </w:rPr>
        <w:t>C</w:t>
      </w:r>
      <w:r w:rsidRPr="00C93671">
        <w:rPr>
          <w:rFonts w:cs="Arial"/>
        </w:rPr>
        <w:t>) Borrower is in default under the existing Tax Credit Regulatory Agreement.</w:t>
      </w:r>
      <w:r w:rsidRPr="00C93671">
        <w:rPr>
          <w:rFonts w:cs="Arial"/>
        </w:rPr>
        <w:cr/>
      </w:r>
    </w:p>
    <w:p w14:paraId="6B9E0FC5" w14:textId="79FA1C83" w:rsidR="00C93671" w:rsidRPr="00E77081" w:rsidRDefault="00C93671" w:rsidP="003B2B06">
      <w:pPr>
        <w:ind w:left="2880" w:hanging="720"/>
        <w:rPr>
          <w:rFonts w:cs="Arial"/>
        </w:rPr>
      </w:pPr>
      <w:r>
        <w:rPr>
          <w:rFonts w:cs="Arial"/>
        </w:rPr>
        <w:t>(ii)</w:t>
      </w:r>
      <w:r>
        <w:rPr>
          <w:rFonts w:cs="Arial"/>
        </w:rPr>
        <w:tab/>
      </w:r>
      <w:r w:rsidRPr="00C93671">
        <w:rPr>
          <w:rFonts w:cs="Arial"/>
        </w:rPr>
        <w:t>The copy of the Tax Credit Application and the existing</w:t>
      </w:r>
      <w:r>
        <w:rPr>
          <w:rFonts w:cs="Arial"/>
        </w:rPr>
        <w:t xml:space="preserve"> </w:t>
      </w:r>
      <w:r w:rsidRPr="00C93671">
        <w:rPr>
          <w:rFonts w:cs="Arial"/>
        </w:rPr>
        <w:t xml:space="preserve">Tax Credit Regulatory Agreement that Borrower has provided to Lender includes all amendments, schedules </w:t>
      </w:r>
      <w:r>
        <w:rPr>
          <w:rFonts w:cs="Arial"/>
        </w:rPr>
        <w:t>a</w:t>
      </w:r>
      <w:r w:rsidRPr="00C93671">
        <w:rPr>
          <w:rFonts w:cs="Arial"/>
        </w:rPr>
        <w:t>nd exhibits and is complete and accurate in all respects.</w:t>
      </w:r>
    </w:p>
    <w:bookmarkEnd w:id="1"/>
    <w:p w14:paraId="330F9066" w14:textId="77777777" w:rsidR="00D1175A" w:rsidRPr="00D1175A" w:rsidRDefault="00D1175A" w:rsidP="00D1175A">
      <w:pPr>
        <w:pStyle w:val="ListParagraph"/>
        <w:ind w:left="2160" w:hanging="720"/>
        <w:rPr>
          <w:rFonts w:cs="Arial"/>
        </w:rPr>
      </w:pPr>
    </w:p>
    <w:p w14:paraId="532B592B" w14:textId="05361C14" w:rsidR="00EF3992" w:rsidRPr="00626CAB" w:rsidRDefault="009404FA" w:rsidP="00EF3992">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ind w:left="720" w:hanging="720"/>
        <w:rPr>
          <w:rFonts w:cs="Arial"/>
        </w:rPr>
      </w:pPr>
      <w:r>
        <w:rPr>
          <w:rFonts w:cs="Arial"/>
        </w:rPr>
        <w:t>D</w:t>
      </w:r>
      <w:r w:rsidR="00D1175A" w:rsidRPr="00D1175A">
        <w:rPr>
          <w:rFonts w:cs="Arial"/>
        </w:rPr>
        <w:t>.</w:t>
      </w:r>
      <w:r w:rsidR="00D1175A" w:rsidRPr="00D1175A">
        <w:rPr>
          <w:rFonts w:cs="Arial"/>
        </w:rPr>
        <w:tab/>
      </w:r>
      <w:r>
        <w:rPr>
          <w:rFonts w:cs="Arial"/>
        </w:rPr>
        <w:t xml:space="preserve">If Soft Unsecured Debt is permitted according to Section 1.05, then </w:t>
      </w:r>
      <w:r w:rsidR="00EF3992" w:rsidRPr="00626CAB">
        <w:rPr>
          <w:rFonts w:cs="Arial"/>
        </w:rPr>
        <w:t>Section 6.13(a)(x)</w:t>
      </w:r>
      <w:r w:rsidR="00EF3992">
        <w:rPr>
          <w:rFonts w:cs="Arial"/>
        </w:rPr>
        <w:t>(</w:t>
      </w:r>
      <w:r w:rsidR="002A5C16">
        <w:rPr>
          <w:rFonts w:cs="Arial"/>
        </w:rPr>
        <w:t>F</w:t>
      </w:r>
      <w:r w:rsidR="00EF3992">
        <w:rPr>
          <w:rFonts w:cs="Arial"/>
        </w:rPr>
        <w:t>)</w:t>
      </w:r>
      <w:r w:rsidR="00EF3992" w:rsidRPr="00626CAB">
        <w:rPr>
          <w:rFonts w:cs="Arial"/>
        </w:rPr>
        <w:t xml:space="preserve"> is deleted and replaced with the following</w:t>
      </w:r>
      <w:r>
        <w:rPr>
          <w:rFonts w:cs="Arial"/>
        </w:rPr>
        <w:t>:</w:t>
      </w:r>
    </w:p>
    <w:p w14:paraId="089EDC0D" w14:textId="77777777" w:rsidR="00EF3992" w:rsidRDefault="00EF3992" w:rsidP="00D1175A">
      <w:pPr>
        <w:pStyle w:val="ExDStdProvsNormal"/>
        <w:ind w:left="720" w:hanging="720"/>
        <w:rPr>
          <w:rFonts w:ascii="Arial" w:hAnsi="Arial" w:cs="Arial"/>
          <w:sz w:val="20"/>
          <w:szCs w:val="20"/>
        </w:rPr>
      </w:pPr>
    </w:p>
    <w:p w14:paraId="35082C83" w14:textId="5AD7715B" w:rsidR="00D1175A" w:rsidRPr="00D1175A" w:rsidRDefault="00D1175A" w:rsidP="00D1175A">
      <w:pPr>
        <w:pStyle w:val="NormalHangingIndent3"/>
        <w:spacing w:after="0"/>
        <w:ind w:left="1440"/>
        <w:jc w:val="left"/>
        <w:rPr>
          <w:rFonts w:ascii="Arial" w:hAnsi="Arial" w:cs="Arial"/>
          <w:sz w:val="20"/>
          <w:szCs w:val="20"/>
        </w:rPr>
      </w:pPr>
      <w:r w:rsidRPr="00D1175A">
        <w:rPr>
          <w:rFonts w:ascii="Arial" w:hAnsi="Arial" w:cs="Arial"/>
          <w:sz w:val="20"/>
          <w:szCs w:val="20"/>
        </w:rPr>
        <w:t>(</w:t>
      </w:r>
      <w:r w:rsidR="002A5C16">
        <w:rPr>
          <w:rFonts w:ascii="Arial" w:hAnsi="Arial" w:cs="Arial"/>
          <w:sz w:val="20"/>
          <w:szCs w:val="20"/>
        </w:rPr>
        <w:t>F</w:t>
      </w:r>
      <w:r w:rsidRPr="00D1175A">
        <w:rPr>
          <w:rFonts w:ascii="Arial" w:hAnsi="Arial" w:cs="Arial"/>
          <w:sz w:val="20"/>
          <w:szCs w:val="20"/>
        </w:rPr>
        <w:t>)</w:t>
      </w:r>
      <w:r w:rsidRPr="00D1175A">
        <w:rPr>
          <w:rFonts w:ascii="Arial" w:hAnsi="Arial" w:cs="Arial"/>
          <w:sz w:val="20"/>
          <w:szCs w:val="20"/>
        </w:rPr>
        <w:tab/>
      </w:r>
      <w:r w:rsidR="009404FA">
        <w:rPr>
          <w:rFonts w:ascii="Arial" w:hAnsi="Arial" w:cs="Arial"/>
          <w:sz w:val="20"/>
          <w:szCs w:val="20"/>
        </w:rPr>
        <w:t>S</w:t>
      </w:r>
      <w:r w:rsidRPr="00D1175A">
        <w:rPr>
          <w:rFonts w:ascii="Arial" w:hAnsi="Arial" w:cs="Arial"/>
          <w:bCs/>
          <w:sz w:val="20"/>
          <w:szCs w:val="20"/>
        </w:rPr>
        <w:t>oft unsecured debt characterized as deferred developer fees and soft unsecured partner loans required for the purpose of avoiding a default on the Indebtedness and, in each case, payable from excess cash flow only.</w:t>
      </w:r>
    </w:p>
    <w:p w14:paraId="15A078B5" w14:textId="77777777" w:rsidR="00D1175A" w:rsidRPr="00D1175A" w:rsidRDefault="00D1175A" w:rsidP="00D1175A">
      <w:pPr>
        <w:rPr>
          <w:rFonts w:cs="Arial"/>
        </w:rPr>
      </w:pPr>
    </w:p>
    <w:p w14:paraId="0FBBC9EF" w14:textId="14E775EB" w:rsidR="00D1175A" w:rsidRPr="00D1175A" w:rsidRDefault="009404FA" w:rsidP="00D1175A">
      <w:pPr>
        <w:rPr>
          <w:rFonts w:cs="Arial"/>
        </w:rPr>
      </w:pPr>
      <w:r>
        <w:rPr>
          <w:rFonts w:cs="Arial"/>
        </w:rPr>
        <w:t>E</w:t>
      </w:r>
      <w:r w:rsidR="00D1175A" w:rsidRPr="00D1175A">
        <w:rPr>
          <w:rFonts w:cs="Arial"/>
        </w:rPr>
        <w:t>.</w:t>
      </w:r>
      <w:r w:rsidR="00D1175A" w:rsidRPr="00D1175A">
        <w:rPr>
          <w:rFonts w:cs="Arial"/>
        </w:rPr>
        <w:tab/>
        <w:t>Section 6.3</w:t>
      </w:r>
      <w:r w:rsidR="00C932EB">
        <w:rPr>
          <w:rFonts w:cs="Arial"/>
        </w:rPr>
        <w:t>9</w:t>
      </w:r>
      <w:r w:rsidR="00D1175A" w:rsidRPr="00D1175A">
        <w:rPr>
          <w:rFonts w:cs="Arial"/>
        </w:rPr>
        <w:t xml:space="preserve"> is deleted and replaced with the following:</w:t>
      </w:r>
    </w:p>
    <w:p w14:paraId="323E99A3" w14:textId="77777777" w:rsidR="00D1175A" w:rsidRPr="00D1175A" w:rsidRDefault="00D1175A" w:rsidP="00D1175A">
      <w:pPr>
        <w:rPr>
          <w:rFonts w:cs="Arial"/>
        </w:rPr>
      </w:pPr>
    </w:p>
    <w:p w14:paraId="2698C474" w14:textId="0EA363E8" w:rsidR="00D1175A" w:rsidRPr="00D1175A" w:rsidRDefault="00D1175A" w:rsidP="00D1175A">
      <w:pPr>
        <w:pStyle w:val="ExDStdProvsNormal"/>
        <w:ind w:left="1440" w:hanging="720"/>
        <w:rPr>
          <w:rFonts w:ascii="Arial" w:hAnsi="Arial" w:cs="Arial"/>
          <w:sz w:val="20"/>
          <w:szCs w:val="20"/>
        </w:rPr>
      </w:pPr>
      <w:r w:rsidRPr="00D1175A">
        <w:rPr>
          <w:rFonts w:ascii="Arial" w:hAnsi="Arial" w:cs="Arial"/>
          <w:b/>
          <w:sz w:val="20"/>
          <w:szCs w:val="20"/>
        </w:rPr>
        <w:t>6.3</w:t>
      </w:r>
      <w:r w:rsidR="00C932EB">
        <w:rPr>
          <w:rFonts w:ascii="Arial" w:hAnsi="Arial" w:cs="Arial"/>
          <w:b/>
          <w:sz w:val="20"/>
          <w:szCs w:val="20"/>
        </w:rPr>
        <w:t>9</w:t>
      </w:r>
      <w:r w:rsidRPr="00D1175A">
        <w:rPr>
          <w:rFonts w:ascii="Arial" w:hAnsi="Arial" w:cs="Arial"/>
          <w:b/>
          <w:sz w:val="20"/>
          <w:szCs w:val="20"/>
        </w:rPr>
        <w:tab/>
        <w:t>Low-Income Housing Tax Credit Regulatory Agreement</w:t>
      </w:r>
      <w:r w:rsidRPr="00D1175A">
        <w:rPr>
          <w:rFonts w:ascii="Arial" w:hAnsi="Arial" w:cs="Arial"/>
          <w:sz w:val="20"/>
          <w:szCs w:val="20"/>
        </w:rPr>
        <w:t xml:space="preserve">. Lender acknowledges that Tax Credits have been allocated with respect to the Mortgaged Property and that the Mortgaged Property is, or will be, subject to a Tax Credit Regulatory Agreement executed, or to be executed, in connection with the allocation of the Tax Credits. </w:t>
      </w:r>
    </w:p>
    <w:p w14:paraId="4DB55F7F" w14:textId="77777777" w:rsidR="00D1175A" w:rsidRPr="00D1175A" w:rsidRDefault="00D1175A" w:rsidP="00D1175A">
      <w:pPr>
        <w:rPr>
          <w:rFonts w:cs="Arial"/>
        </w:rPr>
      </w:pPr>
    </w:p>
    <w:p w14:paraId="421D5E4F" w14:textId="77777777" w:rsidR="00D1175A" w:rsidRPr="00D1175A" w:rsidRDefault="00D1175A" w:rsidP="00D1175A">
      <w:pPr>
        <w:ind w:left="2160" w:hanging="720"/>
        <w:rPr>
          <w:rFonts w:cs="Arial"/>
        </w:rPr>
      </w:pPr>
      <w:r w:rsidRPr="00D1175A">
        <w:rPr>
          <w:rFonts w:cs="Arial"/>
        </w:rPr>
        <w:t>(a)</w:t>
      </w:r>
      <w:r w:rsidRPr="00D1175A">
        <w:rPr>
          <w:rFonts w:cs="Arial"/>
        </w:rPr>
        <w:tab/>
      </w:r>
      <w:r w:rsidRPr="00D1175A">
        <w:rPr>
          <w:rFonts w:cs="Arial"/>
          <w:u w:val="single"/>
        </w:rPr>
        <w:t>Annual Tax Credit Reporting Requirements</w:t>
      </w:r>
      <w:r w:rsidRPr="00D1175A">
        <w:rPr>
          <w:rFonts w:cs="Arial"/>
        </w:rPr>
        <w:t>. Borrower will submit to Lender, each year at the time of annual submission of Borrower’s financial analysis of operations, a copy of the following sections of Borrower’s federal tax return, as applicable:  Internal Revenue Forms 1065, 8586, 8609 and Form 8609-A, which must reflect the total Tax Credits allocated to the Mortgaged Property and the Tax Credits claimed for the Mortgaged Property in the preceding year.</w:t>
      </w:r>
    </w:p>
    <w:p w14:paraId="7BB7C800" w14:textId="77777777" w:rsidR="00D1175A" w:rsidRPr="00D1175A" w:rsidRDefault="00D1175A" w:rsidP="00D1175A">
      <w:pPr>
        <w:ind w:left="2160" w:hanging="720"/>
        <w:rPr>
          <w:rFonts w:cs="Arial"/>
        </w:rPr>
      </w:pPr>
    </w:p>
    <w:p w14:paraId="548096E5" w14:textId="77777777" w:rsidR="00D1175A" w:rsidRPr="00D1175A" w:rsidRDefault="00D1175A" w:rsidP="00D1175A">
      <w:pPr>
        <w:ind w:left="2160" w:hanging="720"/>
        <w:rPr>
          <w:rFonts w:cs="Arial"/>
        </w:rPr>
      </w:pPr>
      <w:r w:rsidRPr="00D1175A">
        <w:rPr>
          <w:rFonts w:cs="Arial"/>
        </w:rPr>
        <w:t>(b)</w:t>
      </w:r>
      <w:r w:rsidRPr="00D1175A">
        <w:rPr>
          <w:rFonts w:cs="Arial"/>
        </w:rPr>
        <w:tab/>
      </w:r>
      <w:r w:rsidRPr="00D1175A">
        <w:rPr>
          <w:rFonts w:cs="Arial"/>
          <w:u w:val="single"/>
        </w:rPr>
        <w:t>Cross-Default</w:t>
      </w:r>
      <w:r w:rsidRPr="00D1175A">
        <w:rPr>
          <w:rFonts w:cs="Arial"/>
        </w:rPr>
        <w:t>.</w:t>
      </w:r>
      <w:r w:rsidRPr="00D1175A">
        <w:rPr>
          <w:rFonts w:cs="Arial"/>
          <w:b/>
        </w:rPr>
        <w:t xml:space="preserve"> </w:t>
      </w:r>
      <w:r w:rsidRPr="00D1175A">
        <w:rPr>
          <w:rFonts w:cs="Arial"/>
        </w:rPr>
        <w:t xml:space="preserve">Borrower acknowledges and agrees that any default, event of default, or breach (however such terms may be defined) after the expiration of any applicable notice and/or cure periods under the Tax Credit Regulatory Agreement will be an Event of Default under this Loan Agreement and that any costs, damages or other amounts, including reasonable Attorneys’ Fees and Costs incurred by Lender as a result of such an Event of Default by Borrower, including amounts paid to cure any default or event of default under the Tax Credit Regulatory Agreement, will be an obligation of Borrower and become a part of the Indebtedness. </w:t>
      </w:r>
    </w:p>
    <w:p w14:paraId="6429A26F" w14:textId="77777777" w:rsidR="00D1175A" w:rsidRPr="00D1175A" w:rsidRDefault="00D1175A" w:rsidP="00D1175A">
      <w:pPr>
        <w:ind w:left="1440" w:hanging="720"/>
        <w:rPr>
          <w:rFonts w:cs="Arial"/>
          <w:b/>
        </w:rPr>
      </w:pPr>
    </w:p>
    <w:p w14:paraId="2C4974F6" w14:textId="77777777" w:rsidR="00D1175A" w:rsidRPr="00D1175A" w:rsidRDefault="00D1175A" w:rsidP="00D1175A">
      <w:pPr>
        <w:ind w:left="2160" w:hanging="720"/>
        <w:rPr>
          <w:rFonts w:cs="Arial"/>
          <w:b/>
        </w:rPr>
      </w:pPr>
      <w:r w:rsidRPr="00D1175A">
        <w:rPr>
          <w:rFonts w:cs="Arial"/>
        </w:rPr>
        <w:t>(c)</w:t>
      </w:r>
      <w:r w:rsidRPr="00D1175A">
        <w:rPr>
          <w:rFonts w:cs="Arial"/>
        </w:rPr>
        <w:tab/>
      </w:r>
      <w:r w:rsidRPr="00D1175A">
        <w:rPr>
          <w:rFonts w:cs="Arial"/>
          <w:u w:val="single"/>
        </w:rPr>
        <w:t>Annual Compliance</w:t>
      </w:r>
      <w:r w:rsidRPr="00D1175A">
        <w:rPr>
          <w:rFonts w:cs="Arial"/>
        </w:rPr>
        <w:t>.</w:t>
      </w:r>
      <w:r w:rsidRPr="00D1175A">
        <w:rPr>
          <w:rFonts w:cs="Arial"/>
          <w:b/>
        </w:rPr>
        <w:t xml:space="preserve"> </w:t>
      </w:r>
      <w:r w:rsidRPr="00D1175A">
        <w:rPr>
          <w:rFonts w:cs="Arial"/>
        </w:rPr>
        <w:t>Borrower will submit annually (or such other shorter period required under the Tax Credit Regulatory Agreement) to Lender evidence that the Mortgaged Property is in ongoing compliance with all income, occupancy, and rent restrictions under the Tax Credit Regulatory Agreement relating to the Mortgaged Property. Such submissions to Lender will be made contemporaneously with the submission of reports to Tax Credit Agency as required under the Tax Credit Regulatory Agreement.</w:t>
      </w:r>
    </w:p>
    <w:p w14:paraId="1918C5C8" w14:textId="77777777" w:rsidR="00D1175A" w:rsidRPr="00D1175A" w:rsidRDefault="00D1175A" w:rsidP="00D1175A">
      <w:pPr>
        <w:ind w:left="2160" w:hanging="720"/>
        <w:rPr>
          <w:rFonts w:cs="Arial"/>
        </w:rPr>
      </w:pPr>
    </w:p>
    <w:p w14:paraId="666836E9" w14:textId="77777777" w:rsidR="00D1175A" w:rsidRPr="00D1175A" w:rsidRDefault="00D1175A" w:rsidP="00D1175A">
      <w:pPr>
        <w:ind w:left="2160" w:hanging="720"/>
        <w:rPr>
          <w:rFonts w:cs="Arial"/>
          <w:bCs/>
        </w:rPr>
      </w:pPr>
      <w:r w:rsidRPr="00D1175A">
        <w:rPr>
          <w:rFonts w:cs="Arial"/>
        </w:rPr>
        <w:t>(d)</w:t>
      </w:r>
      <w:r w:rsidRPr="00D1175A">
        <w:rPr>
          <w:rFonts w:cs="Arial"/>
        </w:rPr>
        <w:tab/>
      </w:r>
      <w:r w:rsidRPr="00D1175A">
        <w:rPr>
          <w:rFonts w:cs="Arial"/>
          <w:u w:val="single"/>
        </w:rPr>
        <w:t>Tax Credit Regulatory Agreement</w:t>
      </w:r>
      <w:r w:rsidRPr="00D1175A">
        <w:rPr>
          <w:rFonts w:cs="Arial"/>
        </w:rPr>
        <w:t>. Lender agrees that if the Tax Credit Regulatory Agreement recorded, or to be recorded, against the Mortgaged Property, by its terms, terminates upon foreclosure under the Security Instrument or upon a transfer of the Mortgaged Property by instrument in lieu of foreclosure, in accordance with Tax Code Section 42(h)(6)(E), the lien of the Security Instrument and this Loan Agreement will be subordinate to such Tax Credit Regulatory Agreement, regardless of the order of recording of the Security Instrument and the Tax Credit Regulatory Agreement document</w:t>
      </w:r>
      <w:r w:rsidRPr="00D1175A">
        <w:rPr>
          <w:rFonts w:cs="Arial"/>
          <w:bCs/>
        </w:rPr>
        <w:t>; provided, however, Lender reserves the right not to subordinate the lien of the Security Instrument to the Tax Credit Regulatory Agreement if remedies reserved to Tax Credit Agency under the Tax Credit Regulatory Agreement exceed those of specific performance or injunctive relief. In such event, Borrower acknowledges that Lender may require the Tax Credit Agency to enter into a subordination agreement in form and substance satisfactory to Lender. To the extent a Tax Credit Regulatory Agreement is not recorded as of the date of this Loan Agreement, Borrower will first obtain Lender’s consent prior to recording the Tax Credit Regulatory Agreement.</w:t>
      </w:r>
    </w:p>
    <w:p w14:paraId="470F7DC2" w14:textId="77777777" w:rsidR="00D1175A" w:rsidRPr="00D1175A" w:rsidRDefault="00D1175A" w:rsidP="00D1175A">
      <w:pPr>
        <w:ind w:left="1440" w:hanging="720"/>
        <w:rPr>
          <w:rFonts w:cs="Arial"/>
          <w:b/>
        </w:rPr>
      </w:pPr>
    </w:p>
    <w:p w14:paraId="385851A5" w14:textId="5E89A9F8" w:rsidR="00D1175A" w:rsidRPr="00D1175A" w:rsidRDefault="00D1175A" w:rsidP="00D1175A">
      <w:pPr>
        <w:ind w:left="2160" w:hanging="720"/>
        <w:rPr>
          <w:rFonts w:cs="Arial"/>
        </w:rPr>
      </w:pPr>
      <w:r w:rsidRPr="00D1175A">
        <w:rPr>
          <w:rFonts w:cs="Arial"/>
        </w:rPr>
        <w:t>(e)</w:t>
      </w:r>
      <w:r w:rsidRPr="00D1175A">
        <w:rPr>
          <w:rFonts w:cs="Arial"/>
        </w:rPr>
        <w:tab/>
      </w:r>
      <w:r w:rsidRPr="00D1175A">
        <w:rPr>
          <w:rFonts w:cs="Arial"/>
          <w:u w:val="single"/>
        </w:rPr>
        <w:t>Recourse Liability</w:t>
      </w:r>
      <w:r w:rsidRPr="00D1175A">
        <w:rPr>
          <w:rFonts w:cs="Arial"/>
        </w:rPr>
        <w:t>.</w:t>
      </w:r>
      <w:r w:rsidRPr="00D1175A">
        <w:rPr>
          <w:rFonts w:cs="Arial"/>
          <w:b/>
        </w:rPr>
        <w:t xml:space="preserve"> </w:t>
      </w:r>
      <w:r w:rsidRPr="00D1175A">
        <w:rPr>
          <w:rFonts w:cs="Arial"/>
        </w:rPr>
        <w:t xml:space="preserve">Sections </w:t>
      </w:r>
      <w:r w:rsidR="00175BA2">
        <w:rPr>
          <w:rFonts w:cs="Arial"/>
        </w:rPr>
        <w:t>3.03(</w:t>
      </w:r>
      <w:r w:rsidR="00D0194F">
        <w:rPr>
          <w:rFonts w:cs="Arial"/>
        </w:rPr>
        <w:t>a</w:t>
      </w:r>
      <w:r w:rsidR="00175BA2">
        <w:rPr>
          <w:rFonts w:cs="Arial"/>
        </w:rPr>
        <w:t>) and 3.03(</w:t>
      </w:r>
      <w:r w:rsidR="00D0194F">
        <w:rPr>
          <w:rFonts w:cs="Arial"/>
        </w:rPr>
        <w:t>b</w:t>
      </w:r>
      <w:r w:rsidR="00175BA2">
        <w:rPr>
          <w:rFonts w:cs="Arial"/>
        </w:rPr>
        <w:t>) of this Loan Agreement</w:t>
      </w:r>
      <w:r w:rsidR="00175BA2" w:rsidRPr="00D1175A">
        <w:rPr>
          <w:rFonts w:cs="Arial"/>
        </w:rPr>
        <w:t xml:space="preserve"> </w:t>
      </w:r>
      <w:r w:rsidRPr="00D1175A">
        <w:rPr>
          <w:rFonts w:cs="Arial"/>
        </w:rPr>
        <w:t xml:space="preserve">will be operative only after Equity Investor has been given 30 days’ notice of the </w:t>
      </w:r>
      <w:r w:rsidR="00175BA2">
        <w:rPr>
          <w:rFonts w:cs="Arial"/>
        </w:rPr>
        <w:t xml:space="preserve">applicable </w:t>
      </w:r>
      <w:r w:rsidRPr="00D1175A">
        <w:rPr>
          <w:rFonts w:cs="Arial"/>
        </w:rPr>
        <w:t>Event of Default, together with an opportunity within such 30-day period to remedy the applicable Event of Default. In all events, Lender may, during such 30-day period, exercise all of its rights and remedies under this Loan Agreement upon the occurrence of such Event of Default, other than foreclosure of the Mortgaged Property.</w:t>
      </w:r>
    </w:p>
    <w:p w14:paraId="2F40FC70" w14:textId="77777777" w:rsidR="00D1175A" w:rsidRPr="00D1175A" w:rsidRDefault="00D1175A" w:rsidP="00D1175A">
      <w:pPr>
        <w:ind w:left="1440" w:hanging="720"/>
        <w:rPr>
          <w:rFonts w:cs="Arial"/>
        </w:rPr>
      </w:pPr>
    </w:p>
    <w:p w14:paraId="4657BFFB" w14:textId="5A0074E4" w:rsidR="00F01F85" w:rsidRDefault="009404FA" w:rsidP="00D1175A">
      <w:pPr>
        <w:ind w:left="720" w:hanging="720"/>
        <w:rPr>
          <w:rFonts w:cs="Arial"/>
        </w:rPr>
      </w:pPr>
      <w:r>
        <w:rPr>
          <w:rFonts w:cs="Arial"/>
        </w:rPr>
        <w:t>F</w:t>
      </w:r>
      <w:r w:rsidR="00D1175A" w:rsidRPr="00D1175A">
        <w:rPr>
          <w:rFonts w:cs="Arial"/>
        </w:rPr>
        <w:t>.</w:t>
      </w:r>
      <w:r w:rsidR="00D1175A" w:rsidRPr="00D1175A">
        <w:rPr>
          <w:rFonts w:cs="Arial"/>
        </w:rPr>
        <w:tab/>
      </w:r>
      <w:r w:rsidR="00F01F85">
        <w:rPr>
          <w:rFonts w:cs="Arial"/>
        </w:rPr>
        <w:t>The following definitions are added to Article XII:</w:t>
      </w:r>
    </w:p>
    <w:p w14:paraId="571B64A4" w14:textId="50F0C025" w:rsidR="00F01F85" w:rsidRDefault="00F01F85" w:rsidP="00D1175A">
      <w:pPr>
        <w:ind w:left="720" w:hanging="720"/>
        <w:rPr>
          <w:rFonts w:cs="Arial"/>
        </w:rPr>
      </w:pPr>
    </w:p>
    <w:p w14:paraId="34D060BF" w14:textId="77777777" w:rsidR="00F01F85" w:rsidRPr="00D1175A" w:rsidRDefault="00F01F85" w:rsidP="00F01F85">
      <w:pPr>
        <w:ind w:left="720"/>
        <w:rPr>
          <w:rFonts w:cs="Arial"/>
        </w:rPr>
      </w:pPr>
      <w:r w:rsidRPr="007726A0">
        <w:rPr>
          <w:rFonts w:cs="Arial"/>
          <w:bCs/>
        </w:rPr>
        <w:t>“</w:t>
      </w:r>
      <w:r w:rsidRPr="00D1175A">
        <w:rPr>
          <w:rFonts w:cs="Arial"/>
          <w:b/>
        </w:rPr>
        <w:t>Tax Credit Agency</w:t>
      </w:r>
      <w:r w:rsidRPr="007726A0">
        <w:rPr>
          <w:rFonts w:cs="Arial"/>
          <w:bCs/>
        </w:rPr>
        <w:t>”</w:t>
      </w:r>
      <w:r w:rsidRPr="00D1175A">
        <w:rPr>
          <w:rFonts w:cs="Arial"/>
        </w:rPr>
        <w:t xml:space="preserve"> means the designated agency of the Property Jurisdiction to allocate Tax Credits, acting through any authorized representative.</w:t>
      </w:r>
    </w:p>
    <w:p w14:paraId="391C473E" w14:textId="77777777" w:rsidR="00F01F85" w:rsidRPr="00D1175A" w:rsidRDefault="00F01F85" w:rsidP="00F01F85">
      <w:pPr>
        <w:ind w:left="720"/>
        <w:rPr>
          <w:rFonts w:cs="Arial"/>
          <w:b/>
        </w:rPr>
      </w:pPr>
    </w:p>
    <w:p w14:paraId="0CE5F6C9" w14:textId="5FA4029C" w:rsidR="00F01F85" w:rsidRPr="00D1175A" w:rsidRDefault="00F01F85" w:rsidP="00F01F85">
      <w:pPr>
        <w:ind w:left="720"/>
        <w:rPr>
          <w:rFonts w:cs="Arial"/>
          <w:b/>
        </w:rPr>
      </w:pPr>
      <w:r w:rsidRPr="007726A0">
        <w:rPr>
          <w:rFonts w:cs="Arial"/>
          <w:bCs/>
        </w:rPr>
        <w:t>“</w:t>
      </w:r>
      <w:r w:rsidRPr="00D1175A">
        <w:rPr>
          <w:rFonts w:cs="Arial"/>
          <w:b/>
        </w:rPr>
        <w:t>Tax Credit Application</w:t>
      </w:r>
      <w:r w:rsidRPr="007726A0">
        <w:rPr>
          <w:rFonts w:cs="Arial"/>
          <w:bCs/>
        </w:rPr>
        <w:t>”</w:t>
      </w:r>
      <w:r w:rsidRPr="00D1175A">
        <w:rPr>
          <w:rFonts w:cs="Arial"/>
        </w:rPr>
        <w:t xml:space="preserve"> is defined in Section 5.44.</w:t>
      </w:r>
    </w:p>
    <w:p w14:paraId="6D3927A7" w14:textId="77777777" w:rsidR="00F01F85" w:rsidRPr="00D1175A" w:rsidRDefault="00F01F85" w:rsidP="00F01F85">
      <w:pPr>
        <w:ind w:left="720"/>
        <w:rPr>
          <w:rFonts w:cs="Arial"/>
          <w:b/>
        </w:rPr>
      </w:pPr>
    </w:p>
    <w:p w14:paraId="44B31912" w14:textId="77777777" w:rsidR="00F01F85" w:rsidRPr="00D1175A" w:rsidRDefault="00F01F85" w:rsidP="00F01F85">
      <w:pPr>
        <w:ind w:left="720"/>
        <w:rPr>
          <w:rFonts w:cs="Arial"/>
        </w:rPr>
      </w:pPr>
      <w:r w:rsidRPr="007726A0">
        <w:rPr>
          <w:rFonts w:cs="Arial"/>
          <w:bCs/>
        </w:rPr>
        <w:t>“</w:t>
      </w:r>
      <w:r w:rsidRPr="00D1175A">
        <w:rPr>
          <w:rFonts w:cs="Arial"/>
          <w:b/>
        </w:rPr>
        <w:t>Tax Credit Regulatory Agreement</w:t>
      </w:r>
      <w:r w:rsidRPr="007726A0">
        <w:rPr>
          <w:rFonts w:cs="Arial"/>
          <w:bCs/>
        </w:rPr>
        <w:t>”</w:t>
      </w:r>
      <w:r w:rsidRPr="00D1175A">
        <w:rPr>
          <w:rFonts w:cs="Arial"/>
        </w:rPr>
        <w:t xml:space="preserve"> means the extended low-income housing commitment, regulatory agreement or restrictive covenants executed or to be executed by Borrower and Tax Credit Agency and properly recorded in the appropriate land records for the Property Jurisdiction, setting forth certain terms and conditions under which the Mortgaged Property is to be operated and </w:t>
      </w:r>
      <w:r>
        <w:rPr>
          <w:rFonts w:cs="Arial"/>
        </w:rPr>
        <w:t>that</w:t>
      </w:r>
      <w:r w:rsidRPr="00D1175A">
        <w:rPr>
          <w:rFonts w:cs="Arial"/>
        </w:rPr>
        <w:t xml:space="preserve"> must meet the requirements of Tax Code Section 42(h)(6)(B).</w:t>
      </w:r>
    </w:p>
    <w:p w14:paraId="25D5947E" w14:textId="77777777" w:rsidR="00F01F85" w:rsidRPr="00D1175A" w:rsidRDefault="00F01F85" w:rsidP="00F01F85">
      <w:pPr>
        <w:ind w:left="720"/>
        <w:rPr>
          <w:rFonts w:cs="Arial"/>
        </w:rPr>
      </w:pPr>
    </w:p>
    <w:p w14:paraId="0DAE6E28" w14:textId="77777777" w:rsidR="00F01F85" w:rsidRPr="00D1175A" w:rsidRDefault="00F01F85" w:rsidP="00F01F85">
      <w:pPr>
        <w:ind w:left="720"/>
        <w:rPr>
          <w:rFonts w:cs="Arial"/>
        </w:rPr>
      </w:pPr>
      <w:r w:rsidRPr="007726A0">
        <w:rPr>
          <w:rFonts w:cs="Arial"/>
          <w:bCs/>
        </w:rPr>
        <w:t>“</w:t>
      </w:r>
      <w:r w:rsidRPr="00D1175A">
        <w:rPr>
          <w:rFonts w:cs="Arial"/>
          <w:b/>
        </w:rPr>
        <w:t>Tax Credits</w:t>
      </w:r>
      <w:r w:rsidRPr="007726A0">
        <w:rPr>
          <w:rFonts w:cs="Arial"/>
          <w:bCs/>
        </w:rPr>
        <w:t>”</w:t>
      </w:r>
      <w:r w:rsidRPr="00D1175A">
        <w:rPr>
          <w:rFonts w:cs="Arial"/>
        </w:rPr>
        <w:t xml:space="preserve"> means the low-income housing tax credits allocated by Tax Credit Agency pursuant to Section 42 of the Tax Code.</w:t>
      </w:r>
    </w:p>
    <w:p w14:paraId="77C4B9D6" w14:textId="77777777" w:rsidR="00F01F85" w:rsidRPr="00443DFB" w:rsidRDefault="00F01F85" w:rsidP="00F01F85">
      <w:pPr>
        <w:ind w:left="720"/>
        <w:jc w:val="center"/>
        <w:rPr>
          <w:rFonts w:ascii="Times New Roman" w:hAnsi="Times New Roman"/>
          <w:sz w:val="24"/>
          <w:szCs w:val="24"/>
        </w:rPr>
      </w:pPr>
    </w:p>
    <w:p w14:paraId="1D7967EE" w14:textId="3C86E07E" w:rsidR="00F01F85" w:rsidRDefault="00F01F85" w:rsidP="00D1175A">
      <w:pPr>
        <w:ind w:left="720" w:hanging="720"/>
        <w:rPr>
          <w:rFonts w:cs="Arial"/>
        </w:rPr>
      </w:pPr>
      <w:r>
        <w:rPr>
          <w:rFonts w:cs="Arial"/>
        </w:rPr>
        <w:t>G.</w:t>
      </w:r>
      <w:r>
        <w:rPr>
          <w:rFonts w:cs="Arial"/>
        </w:rPr>
        <w:tab/>
        <w:t xml:space="preserve">The remaining paragraphs of this </w:t>
      </w:r>
      <w:r w:rsidR="00714FDB">
        <w:rPr>
          <w:rFonts w:cs="Arial"/>
        </w:rPr>
        <w:t xml:space="preserve">Tax Credit Property </w:t>
      </w:r>
      <w:r>
        <w:rPr>
          <w:rFonts w:cs="Arial"/>
        </w:rPr>
        <w:t xml:space="preserve">Rider (Paragraphs H through </w:t>
      </w:r>
      <w:r w:rsidR="00714FDB">
        <w:rPr>
          <w:rFonts w:cs="Arial"/>
        </w:rPr>
        <w:t>O</w:t>
      </w:r>
      <w:r>
        <w:rPr>
          <w:rFonts w:cs="Arial"/>
        </w:rPr>
        <w:t xml:space="preserve"> are only applicable if </w:t>
      </w:r>
      <w:r w:rsidR="00714FDB">
        <w:rPr>
          <w:rFonts w:cs="Arial"/>
        </w:rPr>
        <w:t>“</w:t>
      </w:r>
      <w:r w:rsidRPr="003B2B06">
        <w:rPr>
          <w:rFonts w:cs="Arial"/>
          <w:b/>
          <w:bCs/>
        </w:rPr>
        <w:t>Equity Investor Participant</w:t>
      </w:r>
      <w:r w:rsidR="00714FDB">
        <w:rPr>
          <w:rFonts w:cs="Arial"/>
        </w:rPr>
        <w:t>”</w:t>
      </w:r>
      <w:r>
        <w:rPr>
          <w:rFonts w:cs="Arial"/>
        </w:rPr>
        <w:t xml:space="preserve"> – “</w:t>
      </w:r>
      <w:r w:rsidRPr="003B2B06">
        <w:rPr>
          <w:rFonts w:cs="Arial"/>
          <w:b/>
          <w:bCs/>
        </w:rPr>
        <w:t>Yes</w:t>
      </w:r>
      <w:r>
        <w:rPr>
          <w:rFonts w:cs="Arial"/>
        </w:rPr>
        <w:t>” is selected in Section</w:t>
      </w:r>
      <w:r w:rsidR="00C932EB">
        <w:rPr>
          <w:rFonts w:cs="Arial"/>
        </w:rPr>
        <w:t> </w:t>
      </w:r>
      <w:r>
        <w:rPr>
          <w:rFonts w:cs="Arial"/>
        </w:rPr>
        <w:t xml:space="preserve">1.05. If </w:t>
      </w:r>
      <w:r w:rsidR="00714FDB">
        <w:rPr>
          <w:rFonts w:cs="Arial"/>
        </w:rPr>
        <w:t>“</w:t>
      </w:r>
      <w:r w:rsidRPr="003B2B06">
        <w:rPr>
          <w:rFonts w:cs="Arial"/>
          <w:b/>
          <w:bCs/>
        </w:rPr>
        <w:t>Equity Investor Participant</w:t>
      </w:r>
      <w:r w:rsidR="00714FDB">
        <w:rPr>
          <w:rFonts w:cs="Arial"/>
        </w:rPr>
        <w:t>”</w:t>
      </w:r>
      <w:r>
        <w:rPr>
          <w:rFonts w:cs="Arial"/>
        </w:rPr>
        <w:t xml:space="preserve"> is “</w:t>
      </w:r>
      <w:r w:rsidRPr="003B2B06">
        <w:rPr>
          <w:rFonts w:cs="Arial"/>
          <w:b/>
          <w:bCs/>
        </w:rPr>
        <w:t>Not applicable</w:t>
      </w:r>
      <w:r>
        <w:rPr>
          <w:rFonts w:cs="Arial"/>
        </w:rPr>
        <w:t>,” then none of the remaining paragraphs of this Rider are applicable for this Loan.</w:t>
      </w:r>
    </w:p>
    <w:p w14:paraId="481E4EA9" w14:textId="77777777" w:rsidR="00F01F85" w:rsidRDefault="00F01F85" w:rsidP="00D1175A">
      <w:pPr>
        <w:ind w:left="720" w:hanging="720"/>
        <w:rPr>
          <w:rFonts w:cs="Arial"/>
        </w:rPr>
      </w:pPr>
    </w:p>
    <w:p w14:paraId="6B2111D4" w14:textId="4A6C9C10" w:rsidR="00D1175A" w:rsidRPr="00D1175A" w:rsidRDefault="00714FDB" w:rsidP="00D1175A">
      <w:pPr>
        <w:ind w:left="720" w:hanging="720"/>
        <w:rPr>
          <w:rFonts w:cs="Arial"/>
        </w:rPr>
      </w:pPr>
      <w:r>
        <w:rPr>
          <w:rFonts w:cs="Arial"/>
        </w:rPr>
        <w:t>H</w:t>
      </w:r>
      <w:r w:rsidR="00F01F85">
        <w:rPr>
          <w:rFonts w:cs="Arial"/>
        </w:rPr>
        <w:t>.</w:t>
      </w:r>
      <w:r w:rsidR="00F01F85">
        <w:rPr>
          <w:rFonts w:cs="Arial"/>
        </w:rPr>
        <w:tab/>
      </w:r>
      <w:r w:rsidR="00D1175A" w:rsidRPr="00D1175A">
        <w:rPr>
          <w:rFonts w:cs="Arial"/>
        </w:rPr>
        <w:t>Section 7.01(</w:t>
      </w:r>
      <w:r w:rsidR="00E255D7">
        <w:rPr>
          <w:rFonts w:cs="Arial"/>
        </w:rPr>
        <w:t>k</w:t>
      </w:r>
      <w:r w:rsidR="00D1175A" w:rsidRPr="00D1175A">
        <w:rPr>
          <w:rFonts w:cs="Arial"/>
        </w:rPr>
        <w:t>) is deleted and replaced with the following:</w:t>
      </w:r>
    </w:p>
    <w:p w14:paraId="6EB5D43E" w14:textId="77777777" w:rsidR="00D1175A" w:rsidRPr="00D1175A" w:rsidRDefault="00D1175A" w:rsidP="00D1175A">
      <w:pPr>
        <w:ind w:left="720" w:hanging="720"/>
        <w:rPr>
          <w:rFonts w:cs="Arial"/>
        </w:rPr>
      </w:pPr>
    </w:p>
    <w:p w14:paraId="509C53D2" w14:textId="450631B3" w:rsidR="00D1175A" w:rsidRPr="00D1175A" w:rsidRDefault="00D1175A" w:rsidP="00D1175A">
      <w:pPr>
        <w:ind w:left="1440" w:hanging="720"/>
        <w:rPr>
          <w:rFonts w:cs="Arial"/>
        </w:rPr>
      </w:pPr>
      <w:r w:rsidRPr="00D1175A">
        <w:rPr>
          <w:rFonts w:cs="Arial"/>
        </w:rPr>
        <w:t>(</w:t>
      </w:r>
      <w:r w:rsidR="00531C25">
        <w:rPr>
          <w:rFonts w:cs="Arial"/>
        </w:rPr>
        <w:t>k</w:t>
      </w:r>
      <w:r w:rsidRPr="00D1175A">
        <w:rPr>
          <w:rFonts w:cs="Arial"/>
        </w:rPr>
        <w:t>)</w:t>
      </w:r>
      <w:r w:rsidRPr="00D1175A">
        <w:rPr>
          <w:rFonts w:cs="Arial"/>
        </w:rPr>
        <w:tab/>
        <w:t xml:space="preserve">A Transfer of any Controlling Interest in Equity Investor, Equity Investor GP/Manager and any entity that Controls Equity Investor GP/Manager if Equity Investor is a Required Equity Owner under Section </w:t>
      </w:r>
      <w:r w:rsidRPr="00FE21D0">
        <w:rPr>
          <w:rFonts w:cs="Arial"/>
        </w:rPr>
        <w:t>7.02(</w:t>
      </w:r>
      <w:r w:rsidR="004579D9" w:rsidRPr="00FE21D0">
        <w:rPr>
          <w:rFonts w:cs="Arial"/>
        </w:rPr>
        <w:t>c</w:t>
      </w:r>
      <w:r w:rsidRPr="00FE21D0">
        <w:rPr>
          <w:rFonts w:cs="Arial"/>
        </w:rPr>
        <w:t>).</w:t>
      </w:r>
    </w:p>
    <w:p w14:paraId="18487E87" w14:textId="77777777" w:rsidR="00D1175A" w:rsidRPr="00D1175A" w:rsidRDefault="00D1175A" w:rsidP="00D1175A">
      <w:pPr>
        <w:pStyle w:val="Subtitle"/>
        <w:rPr>
          <w:rFonts w:ascii="Arial" w:hAnsi="Arial" w:cs="Arial"/>
          <w:sz w:val="20"/>
          <w:szCs w:val="20"/>
        </w:rPr>
      </w:pPr>
    </w:p>
    <w:p w14:paraId="302AAF5A" w14:textId="3205011A" w:rsidR="00D1175A" w:rsidRPr="00D1175A" w:rsidRDefault="00714FDB" w:rsidP="00D1175A">
      <w:pPr>
        <w:ind w:left="720" w:hanging="720"/>
        <w:rPr>
          <w:rFonts w:cs="Arial"/>
        </w:rPr>
      </w:pPr>
      <w:r>
        <w:rPr>
          <w:rFonts w:cs="Arial"/>
        </w:rPr>
        <w:t>I</w:t>
      </w:r>
      <w:r w:rsidR="00D1175A" w:rsidRPr="00D1175A">
        <w:rPr>
          <w:rFonts w:cs="Arial"/>
        </w:rPr>
        <w:t>.</w:t>
      </w:r>
      <w:r w:rsidR="00D1175A" w:rsidRPr="00D1175A">
        <w:rPr>
          <w:rFonts w:cs="Arial"/>
        </w:rPr>
        <w:tab/>
        <w:t>Section 7.02(b)(i) is deleted and replaced with the following:</w:t>
      </w:r>
    </w:p>
    <w:p w14:paraId="7095CCE9" w14:textId="77777777" w:rsidR="00D1175A" w:rsidRPr="00D1175A" w:rsidRDefault="00D1175A" w:rsidP="00D1175A">
      <w:pPr>
        <w:ind w:left="720" w:hanging="720"/>
        <w:rPr>
          <w:rFonts w:cs="Arial"/>
        </w:rPr>
      </w:pPr>
    </w:p>
    <w:p w14:paraId="3DE2EFD8" w14:textId="36091101" w:rsidR="00D1175A" w:rsidRPr="00D1175A" w:rsidRDefault="00D1175A" w:rsidP="00D1175A">
      <w:pPr>
        <w:ind w:left="1440" w:hanging="720"/>
        <w:rPr>
          <w:rFonts w:cs="Arial"/>
        </w:rPr>
      </w:pPr>
      <w:r w:rsidRPr="00D1175A">
        <w:rPr>
          <w:rFonts w:cs="Arial"/>
        </w:rPr>
        <w:t>(i)</w:t>
      </w:r>
      <w:r w:rsidRPr="00D1175A">
        <w:rPr>
          <w:rFonts w:cs="Arial"/>
        </w:rPr>
        <w:tab/>
        <w:t>A Transfer of any legal or equitable interests in an entity that is not Borrower or a Designated Entity for Transfers so long as such Transfer does not result in a Prohibited Transfer under Section 7.01(b), 7.01(d) or 7.01(</w:t>
      </w:r>
      <w:r w:rsidR="00E255D7">
        <w:rPr>
          <w:rFonts w:cs="Arial"/>
        </w:rPr>
        <w:t>k</w:t>
      </w:r>
      <w:r w:rsidRPr="00D1175A">
        <w:rPr>
          <w:rFonts w:cs="Arial"/>
        </w:rPr>
        <w:t>).</w:t>
      </w:r>
    </w:p>
    <w:p w14:paraId="46180C35" w14:textId="77777777" w:rsidR="00D1175A" w:rsidRPr="00D1175A" w:rsidRDefault="00D1175A" w:rsidP="00D1175A">
      <w:pPr>
        <w:ind w:left="720" w:hanging="720"/>
        <w:rPr>
          <w:rFonts w:cs="Arial"/>
        </w:rPr>
      </w:pPr>
    </w:p>
    <w:p w14:paraId="239925D2" w14:textId="5A723C17" w:rsidR="00D1175A" w:rsidRPr="00D1175A" w:rsidRDefault="00714FDB" w:rsidP="00D1175A">
      <w:pPr>
        <w:ind w:left="720" w:hanging="720"/>
        <w:rPr>
          <w:rFonts w:cs="Arial"/>
        </w:rPr>
      </w:pPr>
      <w:r>
        <w:rPr>
          <w:rFonts w:cs="Arial"/>
        </w:rPr>
        <w:t>J</w:t>
      </w:r>
      <w:r w:rsidR="00D1175A" w:rsidRPr="00D1175A">
        <w:rPr>
          <w:rFonts w:cs="Arial"/>
        </w:rPr>
        <w:t>.</w:t>
      </w:r>
      <w:r w:rsidR="00D1175A" w:rsidRPr="00D1175A">
        <w:rPr>
          <w:rFonts w:cs="Arial"/>
        </w:rPr>
        <w:tab/>
        <w:t>Section 7.02(</w:t>
      </w:r>
      <w:r w:rsidR="00531C25">
        <w:rPr>
          <w:rFonts w:cs="Arial"/>
        </w:rPr>
        <w:t>c</w:t>
      </w:r>
      <w:r w:rsidR="00D1175A" w:rsidRPr="00D1175A">
        <w:rPr>
          <w:rFonts w:cs="Arial"/>
        </w:rPr>
        <w:t>) is deleted and replaced with the following:</w:t>
      </w:r>
    </w:p>
    <w:p w14:paraId="454CB797" w14:textId="77777777" w:rsidR="00D1175A" w:rsidRPr="00D1175A" w:rsidRDefault="00D1175A" w:rsidP="00D1175A">
      <w:pPr>
        <w:ind w:left="720"/>
        <w:rPr>
          <w:rFonts w:cs="Arial"/>
        </w:rPr>
      </w:pPr>
    </w:p>
    <w:p w14:paraId="2B2BEE94" w14:textId="79508751" w:rsidR="00D1175A" w:rsidRPr="00D1175A" w:rsidRDefault="00D1175A" w:rsidP="00D1175A">
      <w:pPr>
        <w:ind w:left="1440" w:hanging="720"/>
        <w:rPr>
          <w:rFonts w:cs="Arial"/>
        </w:rPr>
      </w:pPr>
      <w:r w:rsidRPr="00D1175A">
        <w:rPr>
          <w:rFonts w:cs="Arial"/>
        </w:rPr>
        <w:t>(</w:t>
      </w:r>
      <w:r w:rsidR="00531C25">
        <w:rPr>
          <w:rFonts w:cs="Arial"/>
        </w:rPr>
        <w:t>c</w:t>
      </w:r>
      <w:r w:rsidRPr="00D1175A">
        <w:rPr>
          <w:rFonts w:cs="Arial"/>
        </w:rPr>
        <w:t>)</w:t>
      </w:r>
      <w:r w:rsidRPr="00D1175A">
        <w:rPr>
          <w:rFonts w:cs="Arial"/>
        </w:rPr>
        <w:tab/>
        <w:t xml:space="preserve">Even if the name of the Equity Investor is not set forth in </w:t>
      </w:r>
      <w:r w:rsidR="00A009A1">
        <w:rPr>
          <w:rFonts w:cs="Arial"/>
        </w:rPr>
        <w:t>Article I</w:t>
      </w:r>
      <w:r w:rsidRPr="00D1175A">
        <w:rPr>
          <w:rFonts w:cs="Arial"/>
        </w:rPr>
        <w:t xml:space="preserve">, Equity Investor will be considered a Required Equity Owner with a Required Equity Ownership Interest equal to the percentage of ownership in Borrower on the </w:t>
      </w:r>
      <w:r w:rsidR="00F845BB">
        <w:rPr>
          <w:rFonts w:cs="Arial"/>
        </w:rPr>
        <w:t>Effective</w:t>
      </w:r>
      <w:r w:rsidRPr="00D1175A">
        <w:rPr>
          <w:rFonts w:cs="Arial"/>
        </w:rPr>
        <w:t xml:space="preserve"> Date. However, if the following conditions are met, Equity Investor will no longer be considered a Required Equity Owner and the Transfer of its interests in Borrower will be a Permitted Transfer under Section 7.02(b)(ii).</w:t>
      </w:r>
    </w:p>
    <w:p w14:paraId="4F6C6B9F" w14:textId="77777777" w:rsidR="00D1175A" w:rsidRPr="00D1175A" w:rsidRDefault="00D1175A" w:rsidP="00D1175A">
      <w:pPr>
        <w:ind w:left="1440" w:hanging="720"/>
        <w:rPr>
          <w:rFonts w:cs="Arial"/>
        </w:rPr>
      </w:pPr>
    </w:p>
    <w:p w14:paraId="0D699406" w14:textId="77777777" w:rsidR="00D1175A" w:rsidRPr="00D1175A" w:rsidRDefault="00D1175A" w:rsidP="00D1175A">
      <w:pPr>
        <w:ind w:left="2160" w:hanging="720"/>
        <w:rPr>
          <w:rFonts w:cs="Arial"/>
        </w:rPr>
      </w:pPr>
      <w:r w:rsidRPr="00D1175A">
        <w:rPr>
          <w:rFonts w:cs="Arial"/>
        </w:rPr>
        <w:t>(i)</w:t>
      </w:r>
      <w:r w:rsidRPr="00D1175A">
        <w:rPr>
          <w:rFonts w:cs="Arial"/>
        </w:rPr>
        <w:tab/>
        <w:t>Equity Investor has made all low income housing tax credit capital contributions payable to Borrower under the Operating Agreement.</w:t>
      </w:r>
    </w:p>
    <w:p w14:paraId="266054D1" w14:textId="77777777" w:rsidR="00D1175A" w:rsidRPr="00D1175A" w:rsidRDefault="00D1175A" w:rsidP="00D1175A">
      <w:pPr>
        <w:ind w:left="2160" w:hanging="720"/>
        <w:rPr>
          <w:rFonts w:cs="Arial"/>
        </w:rPr>
      </w:pPr>
    </w:p>
    <w:p w14:paraId="58A296F6" w14:textId="77777777" w:rsidR="00D1175A" w:rsidRPr="00D1175A" w:rsidRDefault="00D1175A" w:rsidP="00D1175A">
      <w:pPr>
        <w:pStyle w:val="NormalHangingIndent3"/>
        <w:spacing w:after="0"/>
        <w:jc w:val="left"/>
        <w:rPr>
          <w:rFonts w:ascii="Arial" w:hAnsi="Arial" w:cs="Arial"/>
          <w:color w:val="000000"/>
          <w:sz w:val="20"/>
          <w:szCs w:val="20"/>
        </w:rPr>
      </w:pPr>
      <w:r w:rsidRPr="00D1175A">
        <w:rPr>
          <w:rFonts w:ascii="Arial" w:hAnsi="Arial" w:cs="Arial"/>
          <w:sz w:val="20"/>
          <w:szCs w:val="20"/>
        </w:rPr>
        <w:t>(ii)</w:t>
      </w:r>
      <w:r w:rsidRPr="00D1175A">
        <w:rPr>
          <w:rFonts w:ascii="Arial" w:hAnsi="Arial" w:cs="Arial"/>
          <w:sz w:val="20"/>
          <w:szCs w:val="20"/>
        </w:rPr>
        <w:tab/>
        <w:t>T</w:t>
      </w:r>
      <w:r w:rsidRPr="00D1175A">
        <w:rPr>
          <w:rFonts w:ascii="Arial" w:hAnsi="Arial" w:cs="Arial"/>
          <w:color w:val="000000"/>
          <w:sz w:val="20"/>
          <w:szCs w:val="20"/>
        </w:rPr>
        <w:t xml:space="preserve">he initial compliance period with respect to the </w:t>
      </w:r>
      <w:r w:rsidRPr="00D1175A">
        <w:rPr>
          <w:rFonts w:ascii="Arial" w:hAnsi="Arial" w:cs="Arial"/>
          <w:sz w:val="20"/>
          <w:szCs w:val="20"/>
        </w:rPr>
        <w:t>Tax Credits</w:t>
      </w:r>
      <w:r w:rsidRPr="00D1175A">
        <w:rPr>
          <w:rFonts w:ascii="Arial" w:hAnsi="Arial" w:cs="Arial"/>
          <w:color w:val="000000"/>
          <w:sz w:val="20"/>
          <w:szCs w:val="20"/>
        </w:rPr>
        <w:t xml:space="preserve"> </w:t>
      </w:r>
      <w:r w:rsidRPr="00D1175A">
        <w:rPr>
          <w:rFonts w:ascii="Arial" w:hAnsi="Arial" w:cs="Arial"/>
          <w:sz w:val="20"/>
          <w:szCs w:val="20"/>
        </w:rPr>
        <w:t>allocated with respect to the Mortgaged Property</w:t>
      </w:r>
      <w:r w:rsidRPr="00D1175A">
        <w:rPr>
          <w:rFonts w:ascii="Arial" w:hAnsi="Arial" w:cs="Arial"/>
          <w:color w:val="000000"/>
          <w:sz w:val="20"/>
          <w:szCs w:val="20"/>
        </w:rPr>
        <w:t xml:space="preserve"> (“</w:t>
      </w:r>
      <w:r w:rsidRPr="00D1175A">
        <w:rPr>
          <w:rFonts w:ascii="Arial" w:hAnsi="Arial" w:cs="Arial"/>
          <w:b/>
          <w:color w:val="000000"/>
          <w:sz w:val="20"/>
          <w:szCs w:val="20"/>
        </w:rPr>
        <w:t>Compliance Period</w:t>
      </w:r>
      <w:r w:rsidRPr="00D1175A">
        <w:rPr>
          <w:rFonts w:ascii="Arial" w:hAnsi="Arial" w:cs="Arial"/>
          <w:color w:val="000000"/>
          <w:sz w:val="20"/>
          <w:szCs w:val="20"/>
        </w:rPr>
        <w:t>”) has ended.</w:t>
      </w:r>
    </w:p>
    <w:p w14:paraId="70864EAE" w14:textId="77777777" w:rsidR="00D1175A" w:rsidRPr="00D1175A" w:rsidRDefault="00D1175A" w:rsidP="00D1175A">
      <w:pPr>
        <w:ind w:left="720" w:hanging="720"/>
        <w:rPr>
          <w:rFonts w:cs="Arial"/>
        </w:rPr>
      </w:pPr>
    </w:p>
    <w:p w14:paraId="6B8557F4" w14:textId="5CBDF52A" w:rsidR="00D1175A" w:rsidRPr="00D1175A" w:rsidRDefault="00714FDB" w:rsidP="00D1175A">
      <w:pPr>
        <w:ind w:left="720" w:hanging="720"/>
        <w:rPr>
          <w:rFonts w:cs="Arial"/>
        </w:rPr>
      </w:pPr>
      <w:r>
        <w:rPr>
          <w:rFonts w:cs="Arial"/>
        </w:rPr>
        <w:t>K</w:t>
      </w:r>
      <w:r w:rsidR="00D1175A" w:rsidRPr="00D1175A">
        <w:rPr>
          <w:rFonts w:cs="Arial"/>
        </w:rPr>
        <w:t>.</w:t>
      </w:r>
      <w:r w:rsidR="00D1175A" w:rsidRPr="00D1175A">
        <w:rPr>
          <w:rFonts w:cs="Arial"/>
        </w:rPr>
        <w:tab/>
        <w:t xml:space="preserve">Sections 7.03(a)(vii) and </w:t>
      </w:r>
      <w:r w:rsidR="00E77081">
        <w:rPr>
          <w:rFonts w:cs="Arial"/>
        </w:rPr>
        <w:t>7.03</w:t>
      </w:r>
      <w:r w:rsidR="00A506EE">
        <w:rPr>
          <w:rFonts w:cs="Arial"/>
        </w:rPr>
        <w:t>(a)</w:t>
      </w:r>
      <w:r w:rsidR="00D1175A" w:rsidRPr="00D1175A">
        <w:rPr>
          <w:rFonts w:cs="Arial"/>
        </w:rPr>
        <w:t xml:space="preserve">(viii) are deleted and replaced with the following: </w:t>
      </w:r>
    </w:p>
    <w:p w14:paraId="758C1776" w14:textId="77777777" w:rsidR="00D1175A" w:rsidRPr="00D1175A" w:rsidRDefault="00D1175A" w:rsidP="00D1175A">
      <w:pPr>
        <w:ind w:left="630" w:firstLine="90"/>
        <w:rPr>
          <w:rFonts w:cs="Arial"/>
        </w:rPr>
      </w:pPr>
    </w:p>
    <w:p w14:paraId="1A6CF265" w14:textId="77777777" w:rsidR="00D1175A" w:rsidRPr="00D1175A" w:rsidRDefault="00D1175A" w:rsidP="00D1175A">
      <w:pPr>
        <w:ind w:left="1440" w:hanging="720"/>
        <w:rPr>
          <w:rFonts w:cs="Arial"/>
        </w:rPr>
      </w:pPr>
      <w:r w:rsidRPr="00D1175A">
        <w:rPr>
          <w:rFonts w:cs="Arial"/>
        </w:rPr>
        <w:t>(vii)</w:t>
      </w:r>
      <w:r w:rsidRPr="00D1175A">
        <w:rPr>
          <w:rFonts w:cs="Arial"/>
        </w:rPr>
        <w:tab/>
        <w:t xml:space="preserve">Removal by Equity Investor of Borrower GP/Manager. </w:t>
      </w:r>
    </w:p>
    <w:p w14:paraId="609BCF27" w14:textId="77777777" w:rsidR="00D1175A" w:rsidRPr="00D1175A" w:rsidRDefault="00D1175A" w:rsidP="00D1175A">
      <w:pPr>
        <w:ind w:left="1440" w:hanging="720"/>
        <w:rPr>
          <w:rFonts w:cs="Arial"/>
        </w:rPr>
      </w:pPr>
    </w:p>
    <w:p w14:paraId="5466E96D" w14:textId="77777777" w:rsidR="00D1175A" w:rsidRPr="00D1175A" w:rsidRDefault="00D1175A" w:rsidP="00D1175A">
      <w:pPr>
        <w:ind w:left="2160" w:hanging="720"/>
        <w:rPr>
          <w:rFonts w:cs="Arial"/>
        </w:rPr>
      </w:pPr>
      <w:r w:rsidRPr="00D1175A">
        <w:rPr>
          <w:rFonts w:cs="Arial"/>
        </w:rPr>
        <w:t>(A)</w:t>
      </w:r>
      <w:r w:rsidRPr="00D1175A">
        <w:rPr>
          <w:rFonts w:cs="Arial"/>
        </w:rPr>
        <w:tab/>
        <w:t>A “</w:t>
      </w:r>
      <w:r w:rsidRPr="00D1175A">
        <w:rPr>
          <w:rFonts w:cs="Arial"/>
          <w:b/>
        </w:rPr>
        <w:t>Removal by Equity Investor of Borrower/GP Manager</w:t>
      </w:r>
      <w:r w:rsidRPr="00D1175A">
        <w:rPr>
          <w:rFonts w:cs="Arial"/>
        </w:rPr>
        <w:t>” is a Transfer of any ownership interests of Borrower GP/Manager in Borrower or any direct or indirect ownership interests of Borrower GP/Manager Principal in Borrower GP/Manager as the result of (1) the removal of a Borrower GP/Manager as the managing general partner/member of Borrower upon the occurrence of an event of default by Borrower GP/Manager under the Operating Agreement and (2) its replacement as managing general partner/member with Equity Investor, Equity Investor GP/Manager or an entity Controlled by Equity Investor in accordance with the terms of the Operating Agreement.</w:t>
      </w:r>
    </w:p>
    <w:p w14:paraId="0B15E7C6" w14:textId="77777777" w:rsidR="00D1175A" w:rsidRPr="00D1175A" w:rsidRDefault="00D1175A" w:rsidP="00D1175A">
      <w:pPr>
        <w:ind w:left="1440" w:hanging="720"/>
        <w:rPr>
          <w:rFonts w:cs="Arial"/>
        </w:rPr>
      </w:pPr>
    </w:p>
    <w:p w14:paraId="62693CFE" w14:textId="682DF8A3" w:rsidR="00D1175A" w:rsidRPr="00D1175A" w:rsidRDefault="00D1175A" w:rsidP="00D1175A">
      <w:pPr>
        <w:ind w:left="2160" w:hanging="720"/>
        <w:rPr>
          <w:rFonts w:cs="Arial"/>
        </w:rPr>
      </w:pPr>
      <w:r w:rsidRPr="00D1175A">
        <w:rPr>
          <w:rFonts w:cs="Arial"/>
        </w:rPr>
        <w:t>(B)</w:t>
      </w:r>
      <w:r w:rsidRPr="00D1175A">
        <w:rPr>
          <w:rFonts w:cs="Arial"/>
        </w:rPr>
        <w:tab/>
      </w:r>
      <w:r w:rsidRPr="00D1175A">
        <w:rPr>
          <w:rFonts w:cs="Arial"/>
          <w:bCs/>
        </w:rPr>
        <w:t xml:space="preserve">The Borrower set forth in </w:t>
      </w:r>
      <w:r w:rsidR="00A009A1">
        <w:rPr>
          <w:rFonts w:cs="Arial"/>
          <w:bCs/>
        </w:rPr>
        <w:t>Article I</w:t>
      </w:r>
      <w:r w:rsidRPr="00D1175A">
        <w:rPr>
          <w:rFonts w:cs="Arial"/>
          <w:bCs/>
        </w:rPr>
        <w:t xml:space="preserve">, as of the </w:t>
      </w:r>
      <w:r w:rsidR="00F845BB">
        <w:rPr>
          <w:rFonts w:cs="Arial"/>
          <w:bCs/>
        </w:rPr>
        <w:t>Effective</w:t>
      </w:r>
      <w:r w:rsidRPr="00D1175A">
        <w:rPr>
          <w:rFonts w:cs="Arial"/>
          <w:bCs/>
        </w:rPr>
        <w:t xml:space="preserve"> Date,</w:t>
      </w:r>
      <w:r w:rsidRPr="00D1175A">
        <w:rPr>
          <w:rFonts w:cs="Arial"/>
        </w:rPr>
        <w:t xml:space="preserve"> owns the Mortgaged Property at the time of the Transfer and remains the Borrower under the Note after the Transfer.</w:t>
      </w:r>
    </w:p>
    <w:p w14:paraId="7A55C099" w14:textId="77777777" w:rsidR="00D1175A" w:rsidRPr="00D1175A" w:rsidRDefault="00D1175A" w:rsidP="00D1175A">
      <w:pPr>
        <w:ind w:left="2160" w:hanging="720"/>
        <w:rPr>
          <w:rFonts w:cs="Arial"/>
          <w:highlight w:val="yellow"/>
        </w:rPr>
      </w:pPr>
    </w:p>
    <w:p w14:paraId="46CAB61A" w14:textId="77777777" w:rsidR="00D1175A" w:rsidRPr="00D1175A" w:rsidRDefault="00D1175A" w:rsidP="00D1175A">
      <w:pPr>
        <w:ind w:left="2160" w:hanging="720"/>
        <w:rPr>
          <w:rFonts w:cs="Arial"/>
        </w:rPr>
      </w:pPr>
      <w:r w:rsidRPr="00D1175A">
        <w:rPr>
          <w:rFonts w:cs="Arial"/>
        </w:rPr>
        <w:t>(C)</w:t>
      </w:r>
      <w:r w:rsidRPr="00D1175A">
        <w:rPr>
          <w:rFonts w:cs="Arial"/>
        </w:rPr>
        <w:tab/>
        <w:t>After such Transfer, Equity Investor GP/Manager will Control the entity that replaces the Borrower GP/Manager.</w:t>
      </w:r>
    </w:p>
    <w:p w14:paraId="69B8DB7C" w14:textId="77777777" w:rsidR="00D1175A" w:rsidRPr="00D1175A" w:rsidRDefault="00D1175A" w:rsidP="00D1175A">
      <w:pPr>
        <w:ind w:left="2160" w:hanging="720"/>
        <w:rPr>
          <w:rFonts w:cs="Arial"/>
        </w:rPr>
      </w:pPr>
    </w:p>
    <w:p w14:paraId="73C90E4B" w14:textId="77777777" w:rsidR="00D1175A" w:rsidRPr="00D1175A" w:rsidRDefault="00D1175A" w:rsidP="00D1175A">
      <w:pPr>
        <w:ind w:left="2160" w:hanging="720"/>
        <w:rPr>
          <w:rFonts w:cs="Arial"/>
        </w:rPr>
      </w:pPr>
      <w:r w:rsidRPr="00D1175A">
        <w:rPr>
          <w:rFonts w:cs="Arial"/>
        </w:rPr>
        <w:t>(D)</w:t>
      </w:r>
      <w:r w:rsidRPr="00D1175A">
        <w:rPr>
          <w:rFonts w:cs="Arial"/>
        </w:rPr>
        <w:tab/>
        <w:t>Equity Investor identifies an individual or entity satisfying Lender’s then current underwriting standards to be the Replacement Guarantor and the Replacement Guarantor executes and delivers a Replacement Guaranty.</w:t>
      </w:r>
    </w:p>
    <w:p w14:paraId="033642D2" w14:textId="77777777" w:rsidR="00D1175A" w:rsidRPr="00D1175A" w:rsidRDefault="00D1175A" w:rsidP="00D1175A">
      <w:pPr>
        <w:ind w:left="2160" w:hanging="720"/>
        <w:rPr>
          <w:rFonts w:cs="Arial"/>
        </w:rPr>
      </w:pPr>
    </w:p>
    <w:p w14:paraId="53AE113C" w14:textId="65BBEED8" w:rsidR="00D1175A" w:rsidRDefault="00D1175A" w:rsidP="00D1175A">
      <w:pPr>
        <w:ind w:left="2160" w:hanging="720"/>
        <w:rPr>
          <w:rFonts w:cs="Arial"/>
        </w:rPr>
      </w:pPr>
      <w:r w:rsidRPr="00D1175A">
        <w:rPr>
          <w:rFonts w:cs="Arial"/>
        </w:rPr>
        <w:t>(E)</w:t>
      </w:r>
      <w:r w:rsidRPr="00D1175A">
        <w:rPr>
          <w:rFonts w:cs="Arial"/>
        </w:rPr>
        <w:tab/>
        <w:t xml:space="preserve">If, at any time, the initial owners of </w:t>
      </w:r>
      <w:bookmarkStart w:id="2" w:name="_Hlk4670553"/>
      <w:r w:rsidRPr="00D1175A">
        <w:rPr>
          <w:rFonts w:cs="Arial"/>
        </w:rPr>
        <w:t xml:space="preserve">the Equity Investor GP/Manager </w:t>
      </w:r>
      <w:bookmarkEnd w:id="2"/>
      <w:r w:rsidRPr="00D1175A">
        <w:rPr>
          <w:rFonts w:cs="Arial"/>
        </w:rPr>
        <w:t>do not retain Control of the Equity Investor GP/Manager, the provisions of this Section 7.03(a)(vii) will be of no further force and effect.</w:t>
      </w:r>
    </w:p>
    <w:p w14:paraId="75C6B426" w14:textId="39D61057" w:rsidR="00AB4CA8" w:rsidRDefault="00AB4CA8" w:rsidP="00D1175A">
      <w:pPr>
        <w:ind w:left="2160" w:hanging="720"/>
        <w:rPr>
          <w:rFonts w:cs="Arial"/>
        </w:rPr>
      </w:pPr>
    </w:p>
    <w:p w14:paraId="643DA655" w14:textId="057AC168" w:rsidR="00AB4CA8" w:rsidRPr="00D1175A" w:rsidRDefault="00AB4CA8" w:rsidP="00D1175A">
      <w:pPr>
        <w:ind w:left="2160" w:hanging="720"/>
        <w:rPr>
          <w:rFonts w:cs="Arial"/>
        </w:rPr>
      </w:pPr>
      <w:r>
        <w:rPr>
          <w:rFonts w:cs="Arial"/>
        </w:rPr>
        <w:t>(F)</w:t>
      </w:r>
      <w:r>
        <w:rPr>
          <w:rFonts w:cs="Arial"/>
        </w:rPr>
        <w:tab/>
        <w:t>Reserved</w:t>
      </w:r>
    </w:p>
    <w:p w14:paraId="57D80550" w14:textId="77777777" w:rsidR="00D1175A" w:rsidRPr="00D1175A" w:rsidRDefault="00D1175A" w:rsidP="00D1175A">
      <w:pPr>
        <w:ind w:left="2160" w:hanging="720"/>
        <w:rPr>
          <w:rFonts w:cs="Arial"/>
        </w:rPr>
      </w:pPr>
    </w:p>
    <w:p w14:paraId="1550A8BB" w14:textId="77777777" w:rsidR="00D1175A" w:rsidRPr="00D1175A" w:rsidRDefault="00D1175A" w:rsidP="00D1175A">
      <w:pPr>
        <w:ind w:left="1440" w:hanging="720"/>
        <w:rPr>
          <w:rFonts w:cs="Arial"/>
        </w:rPr>
      </w:pPr>
      <w:r w:rsidRPr="00D1175A">
        <w:rPr>
          <w:rFonts w:cs="Arial"/>
        </w:rPr>
        <w:t>(viii)</w:t>
      </w:r>
      <w:r w:rsidRPr="00D1175A">
        <w:rPr>
          <w:rFonts w:cs="Arial"/>
        </w:rPr>
        <w:tab/>
      </w:r>
      <w:r w:rsidRPr="00D1175A">
        <w:rPr>
          <w:rFonts w:cs="Arial"/>
          <w:u w:val="single"/>
        </w:rPr>
        <w:t>Related Entity Investor Transfer</w:t>
      </w:r>
      <w:r w:rsidRPr="00D1175A">
        <w:rPr>
          <w:rFonts w:cs="Arial"/>
        </w:rPr>
        <w:t>. While Equity Investor is a Required Equity Owner, a Transfer by Equity Investor of its direct or indirect interests in Borrower to an entity that is directly or indirectly owned and Controlled by Equity Investor GP/Manager (“</w:t>
      </w:r>
      <w:r w:rsidRPr="00D1175A">
        <w:rPr>
          <w:rFonts w:cs="Arial"/>
          <w:b/>
        </w:rPr>
        <w:t>Related Entity Investor Transferee</w:t>
      </w:r>
      <w:r w:rsidRPr="00D1175A">
        <w:rPr>
          <w:rFonts w:cs="Arial"/>
        </w:rPr>
        <w:t>”), and such a Transfer will not constitute a Required Equity Owner Transfer under Section 7.03(c)(ii).</w:t>
      </w:r>
    </w:p>
    <w:p w14:paraId="5265B92B" w14:textId="77777777" w:rsidR="00D1175A" w:rsidRPr="00D1175A" w:rsidRDefault="00D1175A" w:rsidP="00D1175A">
      <w:pPr>
        <w:ind w:left="2880" w:hanging="720"/>
        <w:rPr>
          <w:rFonts w:cs="Arial"/>
        </w:rPr>
      </w:pPr>
    </w:p>
    <w:p w14:paraId="1F996D58" w14:textId="6947DAB0" w:rsidR="00D1175A" w:rsidRPr="00D1175A" w:rsidRDefault="00714FDB" w:rsidP="00D1175A">
      <w:pPr>
        <w:rPr>
          <w:rFonts w:cs="Arial"/>
          <w:bCs/>
        </w:rPr>
      </w:pPr>
      <w:r>
        <w:rPr>
          <w:rFonts w:cs="Arial"/>
          <w:bCs/>
        </w:rPr>
        <w:t>L</w:t>
      </w:r>
      <w:r w:rsidR="00D1175A" w:rsidRPr="00D1175A">
        <w:rPr>
          <w:rFonts w:cs="Arial"/>
          <w:bCs/>
        </w:rPr>
        <w:t>.</w:t>
      </w:r>
      <w:r w:rsidR="00D1175A" w:rsidRPr="00D1175A">
        <w:rPr>
          <w:rFonts w:cs="Arial"/>
          <w:bCs/>
        </w:rPr>
        <w:tab/>
        <w:t>Section 7.03(c)(</w:t>
      </w:r>
      <w:r w:rsidR="00C932EB">
        <w:rPr>
          <w:rFonts w:cs="Arial"/>
          <w:bCs/>
        </w:rPr>
        <w:t>iv</w:t>
      </w:r>
      <w:r w:rsidR="00D1175A" w:rsidRPr="00D1175A">
        <w:rPr>
          <w:rFonts w:cs="Arial"/>
          <w:bCs/>
        </w:rPr>
        <w:t xml:space="preserve">) is </w:t>
      </w:r>
      <w:r w:rsidR="00C932EB">
        <w:rPr>
          <w:rFonts w:cs="Arial"/>
          <w:bCs/>
        </w:rPr>
        <w:t>deleted and replaced with the following</w:t>
      </w:r>
      <w:r w:rsidR="00D1175A" w:rsidRPr="00D1175A">
        <w:rPr>
          <w:rFonts w:cs="Arial"/>
          <w:bCs/>
        </w:rPr>
        <w:t>:</w:t>
      </w:r>
    </w:p>
    <w:p w14:paraId="6E62A997" w14:textId="77777777" w:rsidR="009C1734" w:rsidRDefault="009C1734" w:rsidP="00D1175A">
      <w:pPr>
        <w:ind w:firstLine="720"/>
        <w:rPr>
          <w:rFonts w:cs="Arial"/>
          <w:bCs/>
        </w:rPr>
      </w:pPr>
    </w:p>
    <w:p w14:paraId="5C049458" w14:textId="22D6B096" w:rsidR="00D1175A" w:rsidRPr="00D1175A" w:rsidRDefault="00D1175A" w:rsidP="00D1175A">
      <w:pPr>
        <w:ind w:firstLine="720"/>
        <w:rPr>
          <w:rFonts w:cs="Arial"/>
          <w:bCs/>
        </w:rPr>
      </w:pPr>
      <w:r w:rsidRPr="00D1175A">
        <w:rPr>
          <w:rFonts w:cs="Arial"/>
          <w:bCs/>
        </w:rPr>
        <w:t>(</w:t>
      </w:r>
      <w:r w:rsidR="00C932EB">
        <w:rPr>
          <w:rFonts w:cs="Arial"/>
          <w:bCs/>
        </w:rPr>
        <w:t>iv</w:t>
      </w:r>
      <w:r w:rsidRPr="00D1175A">
        <w:rPr>
          <w:rFonts w:cs="Arial"/>
          <w:bCs/>
        </w:rPr>
        <w:t xml:space="preserve">)  </w:t>
      </w:r>
      <w:r w:rsidRPr="00D1175A">
        <w:rPr>
          <w:rFonts w:cs="Arial"/>
          <w:bCs/>
        </w:rPr>
        <w:tab/>
        <w:t>Equity Investor Substitution Transfer.</w:t>
      </w:r>
    </w:p>
    <w:p w14:paraId="36BBE9D5" w14:textId="77777777" w:rsidR="00D1175A" w:rsidRPr="00D1175A" w:rsidRDefault="00D1175A" w:rsidP="00D1175A">
      <w:pPr>
        <w:tabs>
          <w:tab w:val="left" w:pos="1440"/>
        </w:tabs>
        <w:ind w:left="2160" w:hanging="2160"/>
        <w:rPr>
          <w:rFonts w:cs="Arial"/>
          <w:bCs/>
        </w:rPr>
      </w:pPr>
      <w:r w:rsidRPr="00D1175A">
        <w:rPr>
          <w:rFonts w:cs="Arial"/>
          <w:bCs/>
        </w:rPr>
        <w:tab/>
      </w:r>
    </w:p>
    <w:p w14:paraId="62065F80" w14:textId="77777777" w:rsidR="00D1175A" w:rsidRPr="00D1175A" w:rsidRDefault="00D1175A" w:rsidP="00D1175A">
      <w:pPr>
        <w:tabs>
          <w:tab w:val="left" w:pos="1440"/>
        </w:tabs>
        <w:ind w:left="2160" w:hanging="720"/>
        <w:rPr>
          <w:rFonts w:cs="Arial"/>
          <w:bCs/>
        </w:rPr>
      </w:pPr>
      <w:r w:rsidRPr="00D1175A">
        <w:rPr>
          <w:rFonts w:cs="Arial"/>
          <w:bCs/>
        </w:rPr>
        <w:t>(A)</w:t>
      </w:r>
      <w:r w:rsidRPr="00D1175A">
        <w:rPr>
          <w:rFonts w:cs="Arial"/>
          <w:bCs/>
        </w:rPr>
        <w:tab/>
        <w:t>“</w:t>
      </w:r>
      <w:r w:rsidRPr="00D1175A">
        <w:rPr>
          <w:rFonts w:cs="Arial"/>
          <w:b/>
        </w:rPr>
        <w:t>Equity Investor Substitution Transfer</w:t>
      </w:r>
      <w:r w:rsidRPr="00D1175A">
        <w:rPr>
          <w:rFonts w:cs="Arial"/>
          <w:bCs/>
        </w:rPr>
        <w:t>” is a Transfer by Equity Investor or Equity Investor GP/Manager of part or all its direct or indirect interest in Borrower to an Approved Substitute Equity Investor.  An Equity Investor Substitution Transfer is not a Required Equity Owner Transfer under Section 7.03(c)(ii).</w:t>
      </w:r>
    </w:p>
    <w:p w14:paraId="298AAA83" w14:textId="77777777" w:rsidR="00D1175A" w:rsidRPr="00D1175A" w:rsidRDefault="00D1175A" w:rsidP="00D1175A">
      <w:pPr>
        <w:tabs>
          <w:tab w:val="left" w:pos="1440"/>
        </w:tabs>
        <w:ind w:left="2160" w:hanging="2160"/>
        <w:rPr>
          <w:rFonts w:cs="Arial"/>
          <w:bCs/>
        </w:rPr>
      </w:pPr>
      <w:r w:rsidRPr="00D1175A">
        <w:rPr>
          <w:rFonts w:cs="Arial"/>
          <w:bCs/>
        </w:rPr>
        <w:tab/>
      </w:r>
    </w:p>
    <w:p w14:paraId="47BC247A" w14:textId="77777777" w:rsidR="00D1175A" w:rsidRPr="00D1175A" w:rsidRDefault="00D1175A" w:rsidP="00D1175A">
      <w:pPr>
        <w:tabs>
          <w:tab w:val="left" w:pos="1440"/>
        </w:tabs>
        <w:ind w:left="2160" w:hanging="720"/>
        <w:rPr>
          <w:rFonts w:cs="Arial"/>
          <w:bCs/>
        </w:rPr>
      </w:pPr>
      <w:r w:rsidRPr="00D1175A">
        <w:rPr>
          <w:rFonts w:cs="Arial"/>
          <w:bCs/>
        </w:rPr>
        <w:t>(B)</w:t>
      </w:r>
      <w:r w:rsidRPr="00D1175A">
        <w:rPr>
          <w:rFonts w:cs="Arial"/>
          <w:bCs/>
        </w:rPr>
        <w:tab/>
      </w:r>
      <w:r w:rsidRPr="00D1175A">
        <w:rPr>
          <w:rFonts w:cs="Arial"/>
          <w:bCs/>
          <w:color w:val="000000"/>
        </w:rPr>
        <w:t>Notwithstanding Section 7.04(a), Borrower provides</w:t>
      </w:r>
      <w:r w:rsidRPr="00D1175A">
        <w:rPr>
          <w:rFonts w:cs="Arial"/>
          <w:bCs/>
        </w:rPr>
        <w:t xml:space="preserve"> Lender with Notice, together with the Equity Investor Substitution Transfer Review Package, at least 45 days prior to the proposed </w:t>
      </w:r>
      <w:r w:rsidRPr="00D1175A">
        <w:rPr>
          <w:rFonts w:cs="Arial"/>
          <w:bCs/>
          <w:color w:val="000000"/>
        </w:rPr>
        <w:t>Conditionally Permitted Transfer</w:t>
      </w:r>
      <w:r w:rsidRPr="00D1175A">
        <w:rPr>
          <w:rFonts w:cs="Arial"/>
          <w:bCs/>
        </w:rPr>
        <w:t>. The Equity Investor Substitution Transfer Review Package must include:</w:t>
      </w:r>
    </w:p>
    <w:p w14:paraId="17D041B3" w14:textId="77777777" w:rsidR="00D1175A" w:rsidRPr="00D1175A" w:rsidRDefault="00D1175A" w:rsidP="00D1175A">
      <w:pPr>
        <w:tabs>
          <w:tab w:val="left" w:pos="1440"/>
        </w:tabs>
        <w:ind w:left="2160" w:hanging="720"/>
        <w:rPr>
          <w:rFonts w:cs="Arial"/>
          <w:bCs/>
        </w:rPr>
      </w:pPr>
    </w:p>
    <w:p w14:paraId="2B7540A7" w14:textId="77777777" w:rsidR="00D1175A" w:rsidRPr="00D1175A" w:rsidRDefault="00D1175A" w:rsidP="00D1175A">
      <w:pPr>
        <w:pStyle w:val="ListParagraph"/>
        <w:numPr>
          <w:ilvl w:val="0"/>
          <w:numId w:val="4"/>
        </w:numPr>
        <w:rPr>
          <w:rFonts w:cs="Arial"/>
          <w:bCs/>
        </w:rPr>
      </w:pPr>
      <w:r w:rsidRPr="00D1175A">
        <w:rPr>
          <w:rFonts w:cs="Arial"/>
          <w:bCs/>
        </w:rPr>
        <w:t>The documentation described in Section 7.04.</w:t>
      </w:r>
    </w:p>
    <w:p w14:paraId="4C3E0B3A" w14:textId="77777777" w:rsidR="00D1175A" w:rsidRPr="00D1175A" w:rsidRDefault="00D1175A" w:rsidP="00D1175A">
      <w:pPr>
        <w:pStyle w:val="ListParagraph"/>
        <w:ind w:left="2880"/>
        <w:rPr>
          <w:rFonts w:cs="Arial"/>
          <w:bCs/>
        </w:rPr>
      </w:pPr>
    </w:p>
    <w:p w14:paraId="034191A2" w14:textId="77777777" w:rsidR="00D1175A" w:rsidRPr="00D1175A" w:rsidRDefault="00D1175A" w:rsidP="00D1175A">
      <w:pPr>
        <w:pStyle w:val="ListParagraph"/>
        <w:numPr>
          <w:ilvl w:val="0"/>
          <w:numId w:val="4"/>
        </w:numPr>
        <w:rPr>
          <w:rFonts w:cs="Arial"/>
          <w:bCs/>
        </w:rPr>
      </w:pPr>
      <w:r w:rsidRPr="00D1175A">
        <w:rPr>
          <w:rFonts w:cs="Arial"/>
          <w:bCs/>
        </w:rPr>
        <w:t>The most recent financial statements for the Financial Organization Transferee or LIHTC Syndicator Transferee, as applicable, audited by an independent certified public accountant acceptable to Lender, provided, that, the most recent long-term credit report from one or more Rating Agencies may be provided for a Financial Organization Transferee in lieu of the most recent financial statements.</w:t>
      </w:r>
    </w:p>
    <w:p w14:paraId="057C9400" w14:textId="77777777" w:rsidR="00D1175A" w:rsidRPr="00D1175A" w:rsidRDefault="00D1175A" w:rsidP="00D1175A">
      <w:pPr>
        <w:pStyle w:val="ListParagraph"/>
        <w:rPr>
          <w:rFonts w:cs="Arial"/>
          <w:bCs/>
        </w:rPr>
      </w:pPr>
    </w:p>
    <w:p w14:paraId="1746748F" w14:textId="77777777" w:rsidR="00D1175A" w:rsidRPr="00D1175A" w:rsidRDefault="00D1175A" w:rsidP="00D1175A">
      <w:pPr>
        <w:pStyle w:val="ListParagraph"/>
        <w:numPr>
          <w:ilvl w:val="0"/>
          <w:numId w:val="4"/>
        </w:numPr>
        <w:rPr>
          <w:rFonts w:cs="Arial"/>
          <w:bCs/>
        </w:rPr>
      </w:pPr>
      <w:r w:rsidRPr="00D1175A">
        <w:rPr>
          <w:rFonts w:cs="Arial"/>
          <w:bCs/>
        </w:rPr>
        <w:t>Written certification by the Financial Organization Transferee or LIHTC Syndicator Transferee, as applicable, in a form acceptable to Lender, that it meets the applicable requirements of a Financial Organization Transferee or LIHTC Syndicator Transferee.</w:t>
      </w:r>
    </w:p>
    <w:p w14:paraId="04F25109" w14:textId="77777777" w:rsidR="00D1175A" w:rsidRPr="00D1175A" w:rsidRDefault="00D1175A" w:rsidP="00D1175A">
      <w:pPr>
        <w:pStyle w:val="ListParagraph"/>
        <w:rPr>
          <w:rFonts w:cs="Arial"/>
          <w:bCs/>
        </w:rPr>
      </w:pPr>
    </w:p>
    <w:p w14:paraId="5F1B683F" w14:textId="77777777" w:rsidR="00D1175A" w:rsidRPr="00D1175A" w:rsidRDefault="00D1175A" w:rsidP="00D1175A">
      <w:pPr>
        <w:pStyle w:val="ListParagraph"/>
        <w:numPr>
          <w:ilvl w:val="0"/>
          <w:numId w:val="4"/>
        </w:numPr>
        <w:rPr>
          <w:rFonts w:cs="Arial"/>
          <w:bCs/>
        </w:rPr>
      </w:pPr>
      <w:r w:rsidRPr="00D1175A">
        <w:rPr>
          <w:rFonts w:cs="Arial"/>
          <w:bCs/>
        </w:rPr>
        <w:t xml:space="preserve"> Any additional information requested by Lender to determine that the conditions of Section 7.04 and the requirements of a Financial Organization Transferee or LIHTC Syndicator Transferee have been met.</w:t>
      </w:r>
    </w:p>
    <w:p w14:paraId="397B3442" w14:textId="77777777" w:rsidR="00D1175A" w:rsidRPr="00D1175A" w:rsidRDefault="00D1175A" w:rsidP="00D1175A">
      <w:pPr>
        <w:pStyle w:val="ListParagraph"/>
        <w:rPr>
          <w:rFonts w:cs="Arial"/>
          <w:bCs/>
        </w:rPr>
      </w:pPr>
    </w:p>
    <w:p w14:paraId="46909168" w14:textId="77777777" w:rsidR="00D1175A" w:rsidRPr="00D1175A" w:rsidRDefault="00D1175A" w:rsidP="00D1175A">
      <w:pPr>
        <w:pStyle w:val="ListParagraph"/>
        <w:numPr>
          <w:ilvl w:val="0"/>
          <w:numId w:val="4"/>
        </w:numPr>
        <w:rPr>
          <w:rFonts w:cs="Arial"/>
          <w:bCs/>
        </w:rPr>
      </w:pPr>
      <w:r w:rsidRPr="00D1175A">
        <w:rPr>
          <w:rFonts w:cs="Arial"/>
          <w:bCs/>
        </w:rPr>
        <w:t>Written evidence acceptable to Lender that the Financial Organization Transferee or LIHTC Syndicator Transferee, as applicable, has agreed to be bound by the terms and provisions of the Operating Agreement.</w:t>
      </w:r>
    </w:p>
    <w:p w14:paraId="33271CEC" w14:textId="77777777" w:rsidR="00D1175A" w:rsidRPr="00D1175A" w:rsidRDefault="00D1175A" w:rsidP="00D1175A">
      <w:pPr>
        <w:tabs>
          <w:tab w:val="left" w:pos="1440"/>
          <w:tab w:val="left" w:pos="2160"/>
        </w:tabs>
        <w:ind w:left="2880" w:hanging="1440"/>
        <w:rPr>
          <w:rFonts w:cs="Arial"/>
          <w:bCs/>
        </w:rPr>
      </w:pPr>
      <w:r w:rsidRPr="00D1175A">
        <w:rPr>
          <w:rFonts w:cs="Arial"/>
          <w:bCs/>
        </w:rPr>
        <w:tab/>
      </w:r>
    </w:p>
    <w:p w14:paraId="7E8D50EA" w14:textId="77777777" w:rsidR="00D1175A" w:rsidRPr="00D1175A" w:rsidRDefault="00D1175A" w:rsidP="00D1175A">
      <w:pPr>
        <w:tabs>
          <w:tab w:val="left" w:pos="720"/>
          <w:tab w:val="left" w:pos="1440"/>
        </w:tabs>
        <w:ind w:left="2160" w:hanging="1440"/>
        <w:rPr>
          <w:rFonts w:cs="Arial"/>
          <w:bCs/>
        </w:rPr>
      </w:pPr>
      <w:r w:rsidRPr="00D1175A">
        <w:rPr>
          <w:rFonts w:cs="Arial"/>
          <w:bCs/>
        </w:rPr>
        <w:tab/>
        <w:t>(C)</w:t>
      </w:r>
      <w:r w:rsidRPr="00D1175A">
        <w:rPr>
          <w:rFonts w:cs="Arial"/>
          <w:bCs/>
        </w:rPr>
        <w:tab/>
      </w:r>
      <w:r w:rsidRPr="00D1175A">
        <w:rPr>
          <w:rFonts w:cs="Arial"/>
          <w:bCs/>
          <w:color w:val="000000"/>
        </w:rPr>
        <w:t xml:space="preserve">Notwithstanding Section 7.04(q), Borrower pays to Lender the Conditional Transfer Fee at the time of the </w:t>
      </w:r>
      <w:r w:rsidRPr="00D1175A">
        <w:rPr>
          <w:rFonts w:cs="Arial"/>
          <w:bCs/>
        </w:rPr>
        <w:t>Equity Investor Substitution</w:t>
      </w:r>
      <w:r w:rsidRPr="00D1175A">
        <w:rPr>
          <w:rFonts w:cs="Arial"/>
          <w:bCs/>
          <w:color w:val="000000"/>
        </w:rPr>
        <w:t xml:space="preserve"> Transfer.</w:t>
      </w:r>
    </w:p>
    <w:p w14:paraId="0E661048" w14:textId="77777777" w:rsidR="00D1175A" w:rsidRPr="00D1175A" w:rsidRDefault="00D1175A" w:rsidP="00D1175A">
      <w:pPr>
        <w:rPr>
          <w:rFonts w:cs="Arial"/>
          <w:bCs/>
        </w:rPr>
      </w:pPr>
    </w:p>
    <w:p w14:paraId="7C8B4397" w14:textId="2141368C" w:rsidR="00D1175A" w:rsidRPr="00D1175A" w:rsidRDefault="00714FDB" w:rsidP="00D1175A">
      <w:pPr>
        <w:rPr>
          <w:rFonts w:cs="Arial"/>
          <w:bCs/>
        </w:rPr>
      </w:pPr>
      <w:r>
        <w:rPr>
          <w:rFonts w:cs="Arial"/>
        </w:rPr>
        <w:t>M</w:t>
      </w:r>
      <w:r w:rsidR="00D1175A" w:rsidRPr="00D1175A">
        <w:rPr>
          <w:rFonts w:cs="Arial"/>
        </w:rPr>
        <w:t>.</w:t>
      </w:r>
      <w:r w:rsidR="00D1175A" w:rsidRPr="00D1175A">
        <w:rPr>
          <w:rFonts w:cs="Arial"/>
        </w:rPr>
        <w:tab/>
        <w:t>Section 9.01(h) is deleted and replaced with the following:</w:t>
      </w:r>
    </w:p>
    <w:p w14:paraId="05ACE2DB" w14:textId="77777777" w:rsidR="00D1175A" w:rsidRPr="00D1175A" w:rsidRDefault="00D1175A" w:rsidP="00D1175A">
      <w:pPr>
        <w:keepNext/>
        <w:rPr>
          <w:rFonts w:cs="Arial"/>
        </w:rPr>
      </w:pPr>
    </w:p>
    <w:p w14:paraId="5487ADB8" w14:textId="3E5F0AFF" w:rsidR="00D1175A" w:rsidRPr="00D1175A" w:rsidRDefault="00D1175A" w:rsidP="00D1175A">
      <w:pPr>
        <w:ind w:left="1440" w:hanging="720"/>
        <w:rPr>
          <w:rFonts w:cs="Arial"/>
        </w:rPr>
      </w:pPr>
      <w:r w:rsidRPr="00D1175A">
        <w:rPr>
          <w:rFonts w:cs="Arial"/>
        </w:rPr>
        <w:t>(h)</w:t>
      </w:r>
      <w:r w:rsidRPr="00D1175A">
        <w:rPr>
          <w:rFonts w:cs="Arial"/>
        </w:rPr>
        <w:tab/>
        <w:t xml:space="preserve">Borrower fails to perform any of its obligations under this Loan Agreement (other than those specified in this Section 9.01), as and when required, which failure continues for a period of 30 days after Notice of such failure by Lender (i) to Borrower, and (ii) to Equity Investor. However, if Borrower’s failure to perform its obligations as described in this Section 9.01(h) is of the nature that it cannot be cured within the 30 day cure period after such Notice from Lender but reasonably could be cured within 90 days, then Borrower and/or Equity Investor will have additional time as determined by Lender in Lender’s Discretion, not to exceed an additional 60 days, in which to cure such default, provided that Borrower and/or Equity Investor has diligently commenced to cure such default during the initial 30 day cure period and diligently pursues the cure of such default. However, no such Notice or cure periods will apply in the case of any such failure </w:t>
      </w:r>
      <w:r w:rsidR="00644F74">
        <w:rPr>
          <w:rFonts w:cs="Arial"/>
        </w:rPr>
        <w:t>that</w:t>
      </w:r>
      <w:r w:rsidRPr="00D1175A">
        <w:rPr>
          <w:rFonts w:cs="Arial"/>
        </w:rPr>
        <w:t xml:space="preserve"> could, in Lender’s judgment, absent immediate exercise by Lender of a right or remedy under this Loan Agreement, result in harm to Lender, danger to tenants or third parties, or impairment of the Note, the Security Instrument or this Loan Agreement or any other security given under any other Loan Document.</w:t>
      </w:r>
    </w:p>
    <w:p w14:paraId="74205497" w14:textId="77777777" w:rsidR="00D1175A" w:rsidRPr="00D1175A" w:rsidRDefault="00D1175A" w:rsidP="00D1175A">
      <w:pPr>
        <w:ind w:left="1440" w:hanging="720"/>
        <w:rPr>
          <w:rFonts w:cs="Arial"/>
        </w:rPr>
      </w:pPr>
    </w:p>
    <w:p w14:paraId="175A2283" w14:textId="5DD65A58" w:rsidR="00D1175A" w:rsidRPr="00D1175A" w:rsidRDefault="00714FDB" w:rsidP="00D1175A">
      <w:pPr>
        <w:keepNext/>
        <w:ind w:left="720" w:hanging="720"/>
        <w:rPr>
          <w:rFonts w:cs="Arial"/>
        </w:rPr>
      </w:pPr>
      <w:r>
        <w:rPr>
          <w:rFonts w:cs="Arial"/>
        </w:rPr>
        <w:t>N</w:t>
      </w:r>
      <w:r w:rsidR="00D1175A" w:rsidRPr="00D1175A">
        <w:rPr>
          <w:rFonts w:cs="Arial"/>
        </w:rPr>
        <w:t>.</w:t>
      </w:r>
      <w:r w:rsidR="00D1175A" w:rsidRPr="00D1175A">
        <w:rPr>
          <w:rFonts w:cs="Arial"/>
        </w:rPr>
        <w:tab/>
        <w:t xml:space="preserve">Section 11.03(d) is deleted and replaced with the following: </w:t>
      </w:r>
    </w:p>
    <w:p w14:paraId="77EAC697" w14:textId="77777777" w:rsidR="00D1175A" w:rsidRPr="00D1175A" w:rsidRDefault="00D1175A" w:rsidP="00D1175A">
      <w:pPr>
        <w:keepNext/>
        <w:ind w:left="720" w:hanging="720"/>
        <w:rPr>
          <w:rFonts w:cs="Arial"/>
        </w:rPr>
      </w:pPr>
    </w:p>
    <w:p w14:paraId="7589830F" w14:textId="158BB579" w:rsidR="00D1175A" w:rsidRPr="00D1175A" w:rsidRDefault="00D1175A" w:rsidP="009C1734">
      <w:pPr>
        <w:ind w:left="1440" w:hanging="720"/>
        <w:rPr>
          <w:rFonts w:cs="Arial"/>
        </w:rPr>
      </w:pPr>
      <w:r w:rsidRPr="00D1175A">
        <w:rPr>
          <w:rFonts w:cs="Arial"/>
        </w:rPr>
        <w:t>(d)</w:t>
      </w:r>
      <w:r w:rsidRPr="00D1175A">
        <w:rPr>
          <w:rFonts w:cs="Arial"/>
        </w:rPr>
        <w:tab/>
        <w:t xml:space="preserve">Lender agrees that, if Equity Investor is a Borrower Principal, Lender will endeavor as a courtesy to Equity Investor to deliver a copy of such Notice to Equity Investor, provided however that any failure to provide such courtesy copy Notice will not affect the validity or sufficiency of any Notice to Borrower, will not affect Lender’s rights and remedies under this Loan Agreement or under any other Loan Documents, nor subject Lender to any claims by or liability to Equity Investor. Such Notice will be given in the manner provided in this Section, at Equity Investor’s address set forth </w:t>
      </w:r>
      <w:r w:rsidR="009C1734">
        <w:rPr>
          <w:rFonts w:cs="Arial"/>
        </w:rPr>
        <w:t xml:space="preserve">in Article I. </w:t>
      </w:r>
      <w:r w:rsidRPr="00D1175A">
        <w:rPr>
          <w:rFonts w:cs="Arial"/>
        </w:rPr>
        <w:t>Equity Investor may change the address to which Notices intended for it are to be directed by means of Notice given to Lender in accordance with this Section 11.03.</w:t>
      </w:r>
    </w:p>
    <w:p w14:paraId="3775C15F" w14:textId="77777777" w:rsidR="00D1175A" w:rsidRPr="00D1175A" w:rsidRDefault="00D1175A" w:rsidP="00D1175A">
      <w:pPr>
        <w:ind w:left="1440"/>
        <w:rPr>
          <w:rFonts w:cs="Arial"/>
        </w:rPr>
      </w:pPr>
    </w:p>
    <w:p w14:paraId="3B883B25" w14:textId="0354D8BC" w:rsidR="00D1175A" w:rsidRPr="00D1175A" w:rsidRDefault="00714FDB" w:rsidP="00D1175A">
      <w:pPr>
        <w:ind w:left="720" w:hanging="720"/>
        <w:rPr>
          <w:rFonts w:cs="Arial"/>
        </w:rPr>
      </w:pPr>
      <w:r>
        <w:rPr>
          <w:rFonts w:cs="Arial"/>
        </w:rPr>
        <w:t>O</w:t>
      </w:r>
      <w:r w:rsidR="00D1175A" w:rsidRPr="00D1175A">
        <w:rPr>
          <w:rFonts w:cs="Arial"/>
        </w:rPr>
        <w:t>.</w:t>
      </w:r>
      <w:r w:rsidR="00D1175A" w:rsidRPr="00D1175A">
        <w:rPr>
          <w:rFonts w:cs="Arial"/>
        </w:rPr>
        <w:tab/>
        <w:t>The following definitions are added to Article XII:</w:t>
      </w:r>
    </w:p>
    <w:p w14:paraId="7451C7EA" w14:textId="77777777" w:rsidR="00D1175A" w:rsidRPr="00D1175A" w:rsidRDefault="00D1175A" w:rsidP="00D1175A">
      <w:pPr>
        <w:ind w:left="720" w:hanging="720"/>
        <w:rPr>
          <w:rFonts w:cs="Arial"/>
        </w:rPr>
      </w:pPr>
    </w:p>
    <w:p w14:paraId="006F552C" w14:textId="77777777" w:rsidR="00D1175A" w:rsidRPr="00D1175A" w:rsidRDefault="00D1175A" w:rsidP="00D1175A">
      <w:pPr>
        <w:spacing w:after="240"/>
        <w:ind w:left="720"/>
        <w:rPr>
          <w:rFonts w:cs="Arial"/>
          <w:bCs/>
        </w:rPr>
      </w:pPr>
      <w:r w:rsidRPr="00D1175A">
        <w:rPr>
          <w:rFonts w:cs="Arial"/>
          <w:bCs/>
        </w:rPr>
        <w:t>“</w:t>
      </w:r>
      <w:r w:rsidRPr="00D1175A">
        <w:rPr>
          <w:rFonts w:cs="Arial"/>
          <w:b/>
        </w:rPr>
        <w:t>Approved Substitute Equity Investor</w:t>
      </w:r>
      <w:r w:rsidRPr="00D1175A">
        <w:rPr>
          <w:rFonts w:cs="Arial"/>
          <w:bCs/>
        </w:rPr>
        <w:t>” means a Permissible Substitute Equity Investor that meets the Equity Investor Substitution Transfer Requirements.</w:t>
      </w:r>
    </w:p>
    <w:p w14:paraId="4A232185" w14:textId="11860E21" w:rsidR="00D1175A" w:rsidRPr="00D1175A" w:rsidRDefault="00D1175A" w:rsidP="00D1175A">
      <w:pPr>
        <w:ind w:left="720"/>
        <w:rPr>
          <w:rFonts w:cs="Arial"/>
          <w:b/>
        </w:rPr>
      </w:pPr>
      <w:r w:rsidRPr="009C1734">
        <w:rPr>
          <w:rFonts w:cs="Arial"/>
          <w:bCs/>
        </w:rPr>
        <w:t>“</w:t>
      </w:r>
      <w:r w:rsidRPr="00D1175A">
        <w:rPr>
          <w:rFonts w:cs="Arial"/>
          <w:b/>
        </w:rPr>
        <w:t>Borrower GP/Manager</w:t>
      </w:r>
      <w:r w:rsidRPr="007726A0">
        <w:rPr>
          <w:rFonts w:cs="Arial"/>
          <w:bCs/>
        </w:rPr>
        <w:t>”</w:t>
      </w:r>
      <w:r w:rsidRPr="00D1175A">
        <w:rPr>
          <w:rFonts w:cs="Arial"/>
          <w:bCs/>
        </w:rPr>
        <w:t xml:space="preserve"> means individually and collectively the managing general partner(s), managing member(s) or controlling shareholder(s) of Borrower</w:t>
      </w:r>
      <w:r w:rsidR="009C1734">
        <w:rPr>
          <w:rFonts w:cs="Arial"/>
          <w:bCs/>
        </w:rPr>
        <w:t xml:space="preserve">, but if the Mortgaged Property is located in California, </w:t>
      </w:r>
      <w:r w:rsidRPr="00D1175A">
        <w:rPr>
          <w:rFonts w:cs="Arial"/>
          <w:bCs/>
        </w:rPr>
        <w:t>does not include the non-profit managing general partner of Borrower required to meet the requirements of the California Revenue and Taxation Code for the welfare exemption.</w:t>
      </w:r>
    </w:p>
    <w:p w14:paraId="40C9CF6C" w14:textId="77777777" w:rsidR="00D1175A" w:rsidRPr="00D1175A" w:rsidRDefault="00D1175A" w:rsidP="00D1175A">
      <w:pPr>
        <w:ind w:left="720"/>
        <w:rPr>
          <w:rFonts w:cs="Arial"/>
          <w:b/>
        </w:rPr>
      </w:pPr>
    </w:p>
    <w:p w14:paraId="19273AF4" w14:textId="77777777" w:rsidR="00D1175A" w:rsidRPr="00D1175A" w:rsidRDefault="00D1175A" w:rsidP="00D1175A">
      <w:pPr>
        <w:ind w:left="720"/>
        <w:rPr>
          <w:rFonts w:cs="Arial"/>
          <w:b/>
        </w:rPr>
      </w:pPr>
      <w:r w:rsidRPr="007726A0">
        <w:rPr>
          <w:rFonts w:cs="Arial"/>
          <w:bCs/>
        </w:rPr>
        <w:t>“</w:t>
      </w:r>
      <w:r w:rsidRPr="00D1175A">
        <w:rPr>
          <w:rFonts w:cs="Arial"/>
          <w:b/>
        </w:rPr>
        <w:t>Borrower GP/Manager Principal</w:t>
      </w:r>
      <w:r w:rsidRPr="007726A0">
        <w:rPr>
          <w:rFonts w:cs="Arial"/>
          <w:bCs/>
        </w:rPr>
        <w:t>”</w:t>
      </w:r>
      <w:r w:rsidRPr="00D1175A">
        <w:rPr>
          <w:rFonts w:cs="Arial"/>
          <w:b/>
        </w:rPr>
        <w:t xml:space="preserve"> </w:t>
      </w:r>
      <w:r w:rsidRPr="00D1175A">
        <w:rPr>
          <w:rFonts w:cs="Arial"/>
          <w:bCs/>
        </w:rPr>
        <w:t xml:space="preserve">means </w:t>
      </w:r>
      <w:r w:rsidRPr="00D1175A">
        <w:rPr>
          <w:rFonts w:cs="Arial"/>
          <w:iCs/>
        </w:rPr>
        <w:t>individually and collectively the individuals and entities that Control the Borrower GP/Manager.</w:t>
      </w:r>
      <w:r w:rsidRPr="00D1175A" w:rsidDel="00562891">
        <w:rPr>
          <w:rFonts w:cs="Arial"/>
          <w:b/>
          <w:bCs/>
          <w:iCs/>
        </w:rPr>
        <w:t xml:space="preserve">  </w:t>
      </w:r>
    </w:p>
    <w:p w14:paraId="110D5884" w14:textId="77777777" w:rsidR="00D1175A" w:rsidRPr="00D1175A" w:rsidRDefault="00D1175A" w:rsidP="00D1175A">
      <w:pPr>
        <w:ind w:left="720"/>
        <w:rPr>
          <w:rFonts w:cs="Arial"/>
          <w:b/>
        </w:rPr>
      </w:pPr>
    </w:p>
    <w:p w14:paraId="48098A6F" w14:textId="235A1862" w:rsidR="00D1175A" w:rsidRPr="00D1175A" w:rsidRDefault="00D1175A" w:rsidP="00D1175A">
      <w:pPr>
        <w:ind w:left="720"/>
        <w:rPr>
          <w:rFonts w:cs="Arial"/>
          <w:b/>
        </w:rPr>
      </w:pPr>
      <w:r w:rsidRPr="007726A0">
        <w:rPr>
          <w:rFonts w:cs="Arial"/>
          <w:bCs/>
        </w:rPr>
        <w:t>“</w:t>
      </w:r>
      <w:r w:rsidRPr="00D1175A">
        <w:rPr>
          <w:rFonts w:cs="Arial"/>
          <w:b/>
        </w:rPr>
        <w:t>Compliance Period</w:t>
      </w:r>
      <w:r w:rsidRPr="007726A0">
        <w:rPr>
          <w:rFonts w:cs="Arial"/>
          <w:bCs/>
        </w:rPr>
        <w:t>”</w:t>
      </w:r>
      <w:r w:rsidRPr="00D1175A">
        <w:rPr>
          <w:rFonts w:cs="Arial"/>
          <w:b/>
        </w:rPr>
        <w:t xml:space="preserve"> </w:t>
      </w:r>
      <w:r w:rsidRPr="00D1175A">
        <w:rPr>
          <w:rFonts w:cs="Arial"/>
        </w:rPr>
        <w:t>is defined in Section 7.02(</w:t>
      </w:r>
      <w:r w:rsidR="00774DDC">
        <w:rPr>
          <w:rFonts w:cs="Arial"/>
        </w:rPr>
        <w:t>c</w:t>
      </w:r>
      <w:r w:rsidRPr="00D1175A">
        <w:rPr>
          <w:rFonts w:cs="Arial"/>
        </w:rPr>
        <w:t>)(ii).</w:t>
      </w:r>
    </w:p>
    <w:p w14:paraId="31108CEE" w14:textId="77777777" w:rsidR="00D1175A" w:rsidRPr="00D1175A" w:rsidRDefault="00D1175A" w:rsidP="00D1175A">
      <w:pPr>
        <w:ind w:left="720"/>
        <w:rPr>
          <w:rFonts w:cs="Arial"/>
          <w:b/>
        </w:rPr>
      </w:pPr>
    </w:p>
    <w:p w14:paraId="62FB60AC" w14:textId="368B2F0F" w:rsidR="00D1175A" w:rsidRPr="00D1175A" w:rsidRDefault="00D1175A" w:rsidP="00D1175A">
      <w:pPr>
        <w:ind w:left="720"/>
        <w:rPr>
          <w:rFonts w:cs="Arial"/>
        </w:rPr>
      </w:pPr>
      <w:r w:rsidRPr="007726A0">
        <w:rPr>
          <w:rFonts w:cs="Arial"/>
          <w:bCs/>
        </w:rPr>
        <w:t>“</w:t>
      </w:r>
      <w:r w:rsidRPr="00D1175A">
        <w:rPr>
          <w:rFonts w:cs="Arial"/>
          <w:b/>
        </w:rPr>
        <w:t>Equity Investor</w:t>
      </w:r>
      <w:r w:rsidRPr="007726A0">
        <w:rPr>
          <w:rFonts w:cs="Arial"/>
          <w:bCs/>
        </w:rPr>
        <w:t>”</w:t>
      </w:r>
      <w:r w:rsidRPr="00D1175A">
        <w:rPr>
          <w:rFonts w:cs="Arial"/>
        </w:rPr>
        <w:t xml:space="preserve"> means </w:t>
      </w:r>
      <w:r w:rsidR="009C1734">
        <w:rPr>
          <w:rFonts w:cs="Arial"/>
        </w:rPr>
        <w:t>the entity specified in Article I</w:t>
      </w:r>
      <w:r w:rsidRPr="00D1175A">
        <w:rPr>
          <w:rFonts w:cs="Arial"/>
        </w:rPr>
        <w:t xml:space="preserve">, together with its permitted successors and assigns, including any Related Entity Investor Transferee </w:t>
      </w:r>
      <w:r w:rsidRPr="00D1175A">
        <w:rPr>
          <w:rFonts w:cs="Arial"/>
          <w:bCs/>
        </w:rPr>
        <w:t>and/or any Approved Substitute Equity Investor</w:t>
      </w:r>
      <w:r w:rsidRPr="00D1175A">
        <w:rPr>
          <w:rFonts w:cs="Arial"/>
        </w:rPr>
        <w:t>.</w:t>
      </w:r>
    </w:p>
    <w:p w14:paraId="60B89AFF" w14:textId="77777777" w:rsidR="00D1175A" w:rsidRPr="00D1175A" w:rsidRDefault="00D1175A" w:rsidP="00D1175A">
      <w:pPr>
        <w:ind w:left="720"/>
        <w:rPr>
          <w:rFonts w:cs="Arial"/>
        </w:rPr>
      </w:pPr>
    </w:p>
    <w:p w14:paraId="251F13C9" w14:textId="77777777" w:rsidR="00D1175A" w:rsidRPr="00D1175A" w:rsidRDefault="00D1175A" w:rsidP="00D1175A">
      <w:pPr>
        <w:ind w:left="720"/>
        <w:rPr>
          <w:rFonts w:cs="Arial"/>
        </w:rPr>
      </w:pPr>
      <w:r w:rsidRPr="007726A0">
        <w:rPr>
          <w:rFonts w:cs="Arial"/>
        </w:rPr>
        <w:t>“</w:t>
      </w:r>
      <w:r w:rsidRPr="00D1175A">
        <w:rPr>
          <w:rFonts w:cs="Arial"/>
          <w:b/>
          <w:bCs/>
        </w:rPr>
        <w:t>Equity Investor GP/Manager</w:t>
      </w:r>
      <w:r w:rsidRPr="007726A0">
        <w:rPr>
          <w:rFonts w:cs="Arial"/>
        </w:rPr>
        <w:t>”</w:t>
      </w:r>
      <w:r w:rsidRPr="00D1175A">
        <w:rPr>
          <w:rFonts w:cs="Arial"/>
        </w:rPr>
        <w:t xml:space="preserve"> means individually and collectively the managing general partner(s), managing member(s) or controlling shareholder(s) of Equity Investor.</w:t>
      </w:r>
    </w:p>
    <w:p w14:paraId="3446D61E" w14:textId="77777777" w:rsidR="00D1175A" w:rsidRPr="00D1175A" w:rsidRDefault="00D1175A" w:rsidP="00D1175A">
      <w:pPr>
        <w:ind w:left="720"/>
        <w:rPr>
          <w:rFonts w:cs="Arial"/>
          <w:b/>
          <w:bCs/>
        </w:rPr>
      </w:pPr>
    </w:p>
    <w:p w14:paraId="1C911D69" w14:textId="52663F31" w:rsidR="00D1175A" w:rsidRPr="00D1175A" w:rsidRDefault="00D1175A" w:rsidP="00D1175A">
      <w:pPr>
        <w:spacing w:after="240"/>
        <w:ind w:left="720"/>
        <w:rPr>
          <w:rFonts w:cs="Arial"/>
        </w:rPr>
      </w:pPr>
      <w:r w:rsidRPr="00D1175A">
        <w:rPr>
          <w:rFonts w:cs="Arial"/>
          <w:bCs/>
        </w:rPr>
        <w:t>“</w:t>
      </w:r>
      <w:r w:rsidRPr="00D1175A">
        <w:rPr>
          <w:rFonts w:cs="Arial"/>
          <w:b/>
        </w:rPr>
        <w:t>Equity Investor Substitution Transfer</w:t>
      </w:r>
      <w:r w:rsidRPr="00D1175A">
        <w:rPr>
          <w:rFonts w:cs="Arial"/>
          <w:bCs/>
        </w:rPr>
        <w:t>” is defined in Section 7.03(c)(i</w:t>
      </w:r>
      <w:r w:rsidR="00774DDC">
        <w:rPr>
          <w:rFonts w:cs="Arial"/>
          <w:bCs/>
        </w:rPr>
        <w:t>v</w:t>
      </w:r>
      <w:r w:rsidRPr="00D1175A">
        <w:rPr>
          <w:rFonts w:cs="Arial"/>
          <w:bCs/>
        </w:rPr>
        <w:t>)(A).</w:t>
      </w:r>
    </w:p>
    <w:p w14:paraId="0621F6D3" w14:textId="77777777" w:rsidR="00D1175A" w:rsidRPr="00D1175A" w:rsidRDefault="00D1175A" w:rsidP="00D1175A">
      <w:pPr>
        <w:spacing w:after="240"/>
        <w:ind w:left="720"/>
        <w:rPr>
          <w:rFonts w:cs="Arial"/>
        </w:rPr>
      </w:pPr>
      <w:r w:rsidRPr="00D1175A">
        <w:rPr>
          <w:rFonts w:cs="Arial"/>
          <w:bCs/>
        </w:rPr>
        <w:t>“</w:t>
      </w:r>
      <w:r w:rsidRPr="00D1175A">
        <w:rPr>
          <w:rFonts w:cs="Arial"/>
          <w:b/>
        </w:rPr>
        <w:t>Equity Investor Substitution Transfer Requirements</w:t>
      </w:r>
      <w:r w:rsidRPr="00D1175A">
        <w:rPr>
          <w:rFonts w:cs="Arial"/>
          <w:bCs/>
        </w:rPr>
        <w:t>” means the requirements set forth in the definition of Financial Organization Transferee or LIHTC Syndicator Transferee, as applicable.</w:t>
      </w:r>
    </w:p>
    <w:p w14:paraId="6006C089" w14:textId="3793219A" w:rsidR="00D1175A" w:rsidRPr="00D1175A" w:rsidRDefault="00D1175A" w:rsidP="00D1175A">
      <w:pPr>
        <w:spacing w:after="240"/>
        <w:ind w:left="720"/>
        <w:rPr>
          <w:rFonts w:cs="Arial"/>
        </w:rPr>
      </w:pPr>
      <w:r w:rsidRPr="00D1175A">
        <w:rPr>
          <w:rFonts w:cs="Arial"/>
          <w:bCs/>
        </w:rPr>
        <w:t>“</w:t>
      </w:r>
      <w:r w:rsidRPr="00D1175A">
        <w:rPr>
          <w:rFonts w:cs="Arial"/>
          <w:b/>
        </w:rPr>
        <w:t>Equity Investor Substitution Transfer Review Package</w:t>
      </w:r>
      <w:r w:rsidRPr="00D1175A">
        <w:rPr>
          <w:rFonts w:cs="Arial"/>
          <w:bCs/>
        </w:rPr>
        <w:t>” means the items required to be submitted to Lender pursuant to Section 7.03(c)(i</w:t>
      </w:r>
      <w:r w:rsidR="00774DDC">
        <w:rPr>
          <w:rFonts w:cs="Arial"/>
          <w:bCs/>
        </w:rPr>
        <w:t>v</w:t>
      </w:r>
      <w:r w:rsidRPr="00D1175A">
        <w:rPr>
          <w:rFonts w:cs="Arial"/>
          <w:bCs/>
        </w:rPr>
        <w:t>)(B) above.</w:t>
      </w:r>
    </w:p>
    <w:p w14:paraId="7E153756" w14:textId="1E6A11BD" w:rsidR="00D1175A" w:rsidRDefault="00D1175A" w:rsidP="00D1175A">
      <w:pPr>
        <w:ind w:left="720"/>
        <w:rPr>
          <w:rFonts w:cs="Arial"/>
          <w:bCs/>
        </w:rPr>
      </w:pPr>
      <w:r w:rsidRPr="00D1175A">
        <w:rPr>
          <w:rFonts w:cs="Arial"/>
          <w:bCs/>
        </w:rPr>
        <w:t>“</w:t>
      </w:r>
      <w:r w:rsidRPr="00D1175A">
        <w:rPr>
          <w:rFonts w:cs="Arial"/>
          <w:b/>
        </w:rPr>
        <w:t>Financial Organization Transferee</w:t>
      </w:r>
      <w:r w:rsidRPr="00D1175A">
        <w:rPr>
          <w:rFonts w:cs="Arial"/>
          <w:bCs/>
        </w:rPr>
        <w:t>” means a financial institution, financial service firm or insurance company, or a wholly-owned subsidiary of any of the foregoing, that is regulated and supervised by a federal or state regulatory agency and that meets the following requirements:</w:t>
      </w:r>
    </w:p>
    <w:p w14:paraId="6637342F" w14:textId="77777777" w:rsidR="008A74BB" w:rsidRPr="00D1175A" w:rsidRDefault="008A74BB" w:rsidP="00D1175A">
      <w:pPr>
        <w:ind w:left="720"/>
        <w:rPr>
          <w:rFonts w:cs="Arial"/>
        </w:rPr>
      </w:pPr>
    </w:p>
    <w:p w14:paraId="0EF8C9D8" w14:textId="55F24C6F" w:rsidR="00D1175A" w:rsidRPr="00D1175A" w:rsidRDefault="00D1175A" w:rsidP="00D1175A">
      <w:pPr>
        <w:numPr>
          <w:ilvl w:val="0"/>
          <w:numId w:val="2"/>
        </w:numPr>
        <w:ind w:left="1440"/>
        <w:rPr>
          <w:rFonts w:cs="Arial"/>
        </w:rPr>
      </w:pPr>
      <w:r w:rsidRPr="00D1175A">
        <w:rPr>
          <w:rFonts w:cs="Arial"/>
          <w:bCs/>
        </w:rPr>
        <w:t xml:space="preserve">it has a long-term credit rating of BBB- or better by </w:t>
      </w:r>
      <w:r w:rsidR="000D767D">
        <w:rPr>
          <w:rFonts w:cs="Arial"/>
          <w:bCs/>
        </w:rPr>
        <w:t>S&amp;P Global</w:t>
      </w:r>
      <w:r w:rsidRPr="00D1175A">
        <w:rPr>
          <w:rFonts w:cs="Arial"/>
          <w:bCs/>
        </w:rPr>
        <w:t xml:space="preserve"> Ratings and Baa3 or better by Moody’s Investors Service, Inc. or a minimum net worth of no less than $500,000,000;</w:t>
      </w:r>
    </w:p>
    <w:p w14:paraId="796410A6" w14:textId="77777777" w:rsidR="00D1175A" w:rsidRPr="00D1175A" w:rsidRDefault="00D1175A" w:rsidP="00D1175A">
      <w:pPr>
        <w:ind w:left="1440"/>
        <w:rPr>
          <w:rFonts w:cs="Arial"/>
        </w:rPr>
      </w:pPr>
    </w:p>
    <w:p w14:paraId="0EDF9E74" w14:textId="77777777" w:rsidR="00D1175A" w:rsidRPr="00D1175A" w:rsidRDefault="00D1175A" w:rsidP="00D1175A">
      <w:pPr>
        <w:numPr>
          <w:ilvl w:val="0"/>
          <w:numId w:val="2"/>
        </w:numPr>
        <w:ind w:left="1440"/>
        <w:rPr>
          <w:rFonts w:cs="Arial"/>
        </w:rPr>
      </w:pPr>
      <w:r w:rsidRPr="00D1175A">
        <w:rPr>
          <w:rFonts w:cs="Arial"/>
          <w:bCs/>
        </w:rPr>
        <w:t>it has at least 7 years’ experience in investing in low income housing tax credits; and</w:t>
      </w:r>
    </w:p>
    <w:p w14:paraId="33CE7C38" w14:textId="77777777" w:rsidR="00D1175A" w:rsidRPr="00D1175A" w:rsidRDefault="00D1175A" w:rsidP="00D1175A">
      <w:pPr>
        <w:ind w:left="1440"/>
        <w:rPr>
          <w:rFonts w:cs="Arial"/>
        </w:rPr>
      </w:pPr>
    </w:p>
    <w:p w14:paraId="13802D0A" w14:textId="77777777" w:rsidR="00D1175A" w:rsidRPr="00D1175A" w:rsidRDefault="00D1175A" w:rsidP="00D1175A">
      <w:pPr>
        <w:numPr>
          <w:ilvl w:val="0"/>
          <w:numId w:val="2"/>
        </w:numPr>
        <w:spacing w:after="240" w:line="276" w:lineRule="auto"/>
        <w:ind w:left="1440"/>
        <w:rPr>
          <w:rFonts w:cs="Arial"/>
        </w:rPr>
      </w:pPr>
      <w:r w:rsidRPr="00D1175A">
        <w:rPr>
          <w:rFonts w:cs="Arial"/>
          <w:bCs/>
        </w:rPr>
        <w:t>it has asset management resources and expertise with the systems and facilities necessary for support or has engaged an external asset management firm to provide those services at the time of the Equity Investor Substitution Transfer.</w:t>
      </w:r>
    </w:p>
    <w:p w14:paraId="374C910E" w14:textId="01D45A40" w:rsidR="00D1175A" w:rsidRDefault="00D1175A" w:rsidP="00D1175A">
      <w:pPr>
        <w:ind w:left="720"/>
        <w:rPr>
          <w:rFonts w:cs="Arial"/>
          <w:bCs/>
        </w:rPr>
      </w:pPr>
      <w:r w:rsidRPr="00D1175A">
        <w:rPr>
          <w:rFonts w:cs="Arial"/>
          <w:bCs/>
        </w:rPr>
        <w:t>“</w:t>
      </w:r>
      <w:r w:rsidRPr="00D1175A">
        <w:rPr>
          <w:rFonts w:cs="Arial"/>
          <w:b/>
        </w:rPr>
        <w:t>LIHTC Syndicator Transferee</w:t>
      </w:r>
      <w:r w:rsidRPr="00D1175A">
        <w:rPr>
          <w:rFonts w:cs="Arial"/>
          <w:bCs/>
        </w:rPr>
        <w:t>” means a syndicated tax credit fund or such fund’s manager (or the parent company of such fund’s manager) that meets the following requirements:</w:t>
      </w:r>
    </w:p>
    <w:p w14:paraId="4A970365" w14:textId="77777777" w:rsidR="008A74BB" w:rsidRPr="00D1175A" w:rsidRDefault="008A74BB" w:rsidP="00D1175A">
      <w:pPr>
        <w:ind w:left="720"/>
        <w:rPr>
          <w:rFonts w:cs="Arial"/>
        </w:rPr>
      </w:pPr>
    </w:p>
    <w:p w14:paraId="0F659750" w14:textId="77777777" w:rsidR="00D1175A" w:rsidRPr="00D1175A" w:rsidRDefault="00D1175A" w:rsidP="00D1175A">
      <w:pPr>
        <w:numPr>
          <w:ilvl w:val="0"/>
          <w:numId w:val="3"/>
        </w:numPr>
        <w:rPr>
          <w:rFonts w:cs="Arial"/>
        </w:rPr>
      </w:pPr>
      <w:r w:rsidRPr="00D1175A">
        <w:rPr>
          <w:rFonts w:cs="Arial"/>
          <w:bCs/>
        </w:rPr>
        <w:t>it has a minimum net worth of at least 2 times the original principal balance of the Loan and a minimum liquidity of at least the greater of (A) 200% of the annual debt service on the Loan or (B) 20% of the original principal balance of the Loan;</w:t>
      </w:r>
    </w:p>
    <w:p w14:paraId="476A87A4" w14:textId="77777777" w:rsidR="00D1175A" w:rsidRPr="00D1175A" w:rsidRDefault="00D1175A" w:rsidP="00D1175A">
      <w:pPr>
        <w:ind w:left="1440"/>
        <w:rPr>
          <w:rFonts w:cs="Arial"/>
        </w:rPr>
      </w:pPr>
    </w:p>
    <w:p w14:paraId="5CE28587" w14:textId="77777777" w:rsidR="00D1175A" w:rsidRPr="00D1175A" w:rsidRDefault="00D1175A" w:rsidP="00D1175A">
      <w:pPr>
        <w:numPr>
          <w:ilvl w:val="0"/>
          <w:numId w:val="3"/>
        </w:numPr>
        <w:rPr>
          <w:rFonts w:cs="Arial"/>
        </w:rPr>
      </w:pPr>
      <w:r w:rsidRPr="00D1175A">
        <w:rPr>
          <w:rFonts w:cs="Arial"/>
          <w:bCs/>
        </w:rPr>
        <w:t xml:space="preserve">it has at least 7 years’ experience in syndicating low income housing tax credits; </w:t>
      </w:r>
    </w:p>
    <w:p w14:paraId="79297BE8" w14:textId="77777777" w:rsidR="00D1175A" w:rsidRPr="00D1175A" w:rsidRDefault="00D1175A" w:rsidP="00D1175A">
      <w:pPr>
        <w:ind w:left="1440"/>
        <w:rPr>
          <w:rFonts w:cs="Arial"/>
        </w:rPr>
      </w:pPr>
    </w:p>
    <w:p w14:paraId="47837AC0" w14:textId="77777777" w:rsidR="00D1175A" w:rsidRPr="00D1175A" w:rsidRDefault="00D1175A" w:rsidP="00D1175A">
      <w:pPr>
        <w:numPr>
          <w:ilvl w:val="0"/>
          <w:numId w:val="3"/>
        </w:numPr>
        <w:rPr>
          <w:rFonts w:cs="Arial"/>
        </w:rPr>
      </w:pPr>
      <w:r w:rsidRPr="00D1175A">
        <w:rPr>
          <w:rFonts w:cs="Arial"/>
          <w:bCs/>
        </w:rPr>
        <w:t>it has the financial capacity to meet its current obligations, together with any remaining capital contributions payable to Borrower under the Operating Agreement; and</w:t>
      </w:r>
    </w:p>
    <w:p w14:paraId="1A09012D" w14:textId="77777777" w:rsidR="00D1175A" w:rsidRPr="00D1175A" w:rsidRDefault="00D1175A" w:rsidP="00D1175A">
      <w:pPr>
        <w:ind w:left="1440"/>
        <w:rPr>
          <w:rFonts w:cs="Arial"/>
        </w:rPr>
      </w:pPr>
    </w:p>
    <w:p w14:paraId="667EE4A0" w14:textId="77777777" w:rsidR="00D1175A" w:rsidRPr="00D1175A" w:rsidRDefault="00D1175A" w:rsidP="00D1175A">
      <w:pPr>
        <w:numPr>
          <w:ilvl w:val="0"/>
          <w:numId w:val="3"/>
        </w:numPr>
        <w:spacing w:after="240" w:line="276" w:lineRule="auto"/>
        <w:rPr>
          <w:rFonts w:cs="Arial"/>
        </w:rPr>
      </w:pPr>
      <w:r w:rsidRPr="00D1175A">
        <w:rPr>
          <w:rFonts w:cs="Arial"/>
          <w:bCs/>
        </w:rPr>
        <w:t>it has syndicated at least $1,400,000,000 of allocated low income housing tax credits over the past 7 years (in the aggregate), and at least $200,000,000 in each of the last 3 years.</w:t>
      </w:r>
    </w:p>
    <w:p w14:paraId="2D15C0B1" w14:textId="690B53F3" w:rsidR="00D1175A" w:rsidRPr="00D1175A" w:rsidRDefault="00D1175A" w:rsidP="00D1175A">
      <w:pPr>
        <w:ind w:left="720"/>
        <w:rPr>
          <w:rFonts w:cs="Arial"/>
        </w:rPr>
      </w:pPr>
      <w:r w:rsidRPr="007726A0">
        <w:rPr>
          <w:rFonts w:cs="Arial"/>
          <w:bCs/>
        </w:rPr>
        <w:t>“</w:t>
      </w:r>
      <w:r w:rsidRPr="00D1175A">
        <w:rPr>
          <w:rFonts w:cs="Arial"/>
          <w:b/>
        </w:rPr>
        <w:t>Operating Agreement</w:t>
      </w:r>
      <w:r w:rsidRPr="007726A0">
        <w:rPr>
          <w:rFonts w:cs="Arial"/>
          <w:bCs/>
        </w:rPr>
        <w:t>”</w:t>
      </w:r>
      <w:r w:rsidRPr="00D1175A">
        <w:rPr>
          <w:rFonts w:cs="Arial"/>
        </w:rPr>
        <w:t xml:space="preserve"> means the Borrower’s limited partnership agreement (if Borrower is a limited partnership) or the Borrower’s operating agreement (if Borrower is a limited liability company) </w:t>
      </w:r>
      <w:r w:rsidR="00644F74">
        <w:rPr>
          <w:rFonts w:cs="Arial"/>
        </w:rPr>
        <w:t>that</w:t>
      </w:r>
      <w:r w:rsidRPr="00D1175A">
        <w:rPr>
          <w:rFonts w:cs="Arial"/>
        </w:rPr>
        <w:t xml:space="preserve"> has been amended and restated with the admission of the Equity Investor as the Borrower’s limited partner or investor member, as </w:t>
      </w:r>
      <w:r w:rsidR="00156809">
        <w:rPr>
          <w:rFonts w:cs="Arial"/>
        </w:rPr>
        <w:t xml:space="preserve">such </w:t>
      </w:r>
      <w:r w:rsidR="00484500">
        <w:rPr>
          <w:rFonts w:cs="Arial"/>
        </w:rPr>
        <w:t xml:space="preserve">amended and restated limited partnership or operating </w:t>
      </w:r>
      <w:r w:rsidR="00156809">
        <w:rPr>
          <w:rFonts w:cs="Arial"/>
        </w:rPr>
        <w:t>agreement</w:t>
      </w:r>
      <w:r w:rsidRPr="00D1175A">
        <w:rPr>
          <w:rFonts w:cs="Arial"/>
        </w:rPr>
        <w:t xml:space="preserve"> may be amended.</w:t>
      </w:r>
    </w:p>
    <w:p w14:paraId="368E15BA" w14:textId="77777777" w:rsidR="00D1175A" w:rsidRPr="00D1175A" w:rsidRDefault="00D1175A" w:rsidP="00D1175A">
      <w:pPr>
        <w:ind w:left="720"/>
        <w:rPr>
          <w:rFonts w:cs="Arial"/>
        </w:rPr>
      </w:pPr>
    </w:p>
    <w:p w14:paraId="03E448BB" w14:textId="77777777" w:rsidR="00D1175A" w:rsidRPr="00D1175A" w:rsidRDefault="00D1175A" w:rsidP="00D1175A">
      <w:pPr>
        <w:ind w:left="720"/>
        <w:rPr>
          <w:rFonts w:cs="Arial"/>
          <w:bCs/>
        </w:rPr>
      </w:pPr>
      <w:r w:rsidRPr="00D1175A">
        <w:rPr>
          <w:rFonts w:cs="Arial"/>
          <w:bCs/>
        </w:rPr>
        <w:t>“</w:t>
      </w:r>
      <w:r w:rsidRPr="00D1175A">
        <w:rPr>
          <w:rFonts w:cs="Arial"/>
          <w:b/>
        </w:rPr>
        <w:t>Permissible Substitute Equity Investor</w:t>
      </w:r>
      <w:r w:rsidRPr="00D1175A">
        <w:rPr>
          <w:rFonts w:cs="Arial"/>
          <w:bCs/>
        </w:rPr>
        <w:t>” means a Financial Organization Transferee or a LIHTC Syndicator Transferee.</w:t>
      </w:r>
    </w:p>
    <w:p w14:paraId="34A6FD1F" w14:textId="77777777" w:rsidR="007726A0" w:rsidRDefault="007726A0" w:rsidP="00D1175A">
      <w:pPr>
        <w:ind w:left="720"/>
        <w:rPr>
          <w:rFonts w:cs="Arial"/>
        </w:rPr>
      </w:pPr>
    </w:p>
    <w:p w14:paraId="534C701E" w14:textId="360338CE" w:rsidR="00D1175A" w:rsidRPr="00D1175A" w:rsidRDefault="00D1175A" w:rsidP="00D1175A">
      <w:pPr>
        <w:ind w:left="720"/>
        <w:rPr>
          <w:rFonts w:cs="Arial"/>
        </w:rPr>
      </w:pPr>
      <w:r w:rsidRPr="00D1175A">
        <w:rPr>
          <w:rFonts w:cs="Arial"/>
        </w:rPr>
        <w:t>“</w:t>
      </w:r>
      <w:r w:rsidRPr="00D1175A">
        <w:rPr>
          <w:rFonts w:cs="Arial"/>
          <w:b/>
        </w:rPr>
        <w:t>Related Entity Investor Transferee</w:t>
      </w:r>
      <w:r w:rsidRPr="007726A0">
        <w:rPr>
          <w:rFonts w:cs="Arial"/>
          <w:bCs/>
        </w:rPr>
        <w:t>”</w:t>
      </w:r>
      <w:r w:rsidRPr="00D1175A">
        <w:rPr>
          <w:rFonts w:cs="Arial"/>
        </w:rPr>
        <w:t xml:space="preserve"> is defined in Section 7.03(a)(viii).</w:t>
      </w:r>
    </w:p>
    <w:p w14:paraId="367617CD" w14:textId="77777777" w:rsidR="00D1175A" w:rsidRPr="00D1175A" w:rsidRDefault="00D1175A" w:rsidP="00D1175A">
      <w:pPr>
        <w:ind w:left="720"/>
        <w:rPr>
          <w:rFonts w:cs="Arial"/>
        </w:rPr>
      </w:pPr>
    </w:p>
    <w:p w14:paraId="31D5BB3F" w14:textId="74634283" w:rsidR="001D6FD7" w:rsidRDefault="001D6FD7" w:rsidP="00D1175A">
      <w:pPr>
        <w:ind w:left="720"/>
        <w:rPr>
          <w:rFonts w:cs="Arial"/>
          <w:bCs/>
        </w:rPr>
      </w:pPr>
      <w:r>
        <w:rPr>
          <w:rFonts w:cs="Arial"/>
          <w:bCs/>
        </w:rPr>
        <w:t>“</w:t>
      </w:r>
      <w:r w:rsidRPr="001D6FD7">
        <w:rPr>
          <w:rFonts w:cs="Arial"/>
          <w:b/>
        </w:rPr>
        <w:t>Removal by Equity Investor of Borrower/GP Manager</w:t>
      </w:r>
      <w:r>
        <w:rPr>
          <w:rFonts w:cs="Arial"/>
          <w:bCs/>
        </w:rPr>
        <w:t>” is defined in Section 7.03(a)(vii).</w:t>
      </w:r>
    </w:p>
    <w:p w14:paraId="2E763046" w14:textId="77777777" w:rsidR="001D6FD7" w:rsidRDefault="001D6FD7" w:rsidP="00D1175A">
      <w:pPr>
        <w:ind w:left="720"/>
        <w:rPr>
          <w:rFonts w:cs="Arial"/>
          <w:bCs/>
        </w:rPr>
      </w:pPr>
    </w:p>
    <w:p w14:paraId="4EFF1EB4" w14:textId="6CA15ACE" w:rsidR="00E73FB7" w:rsidRDefault="00E73FB7" w:rsidP="000A1DF9">
      <w:pPr>
        <w:tabs>
          <w:tab w:val="left" w:pos="1440"/>
        </w:tabs>
        <w:ind w:left="1440" w:hanging="720"/>
        <w:rPr>
          <w:rFonts w:cs="Arial"/>
        </w:rPr>
      </w:pPr>
    </w:p>
    <w:p w14:paraId="44B03CA4" w14:textId="61A1C2F1" w:rsidR="000A1DF9" w:rsidRDefault="000A1DF9">
      <w:pPr>
        <w:spacing w:after="160" w:line="259" w:lineRule="auto"/>
        <w:rPr>
          <w:rFonts w:cs="Arial"/>
        </w:rPr>
      </w:pPr>
    </w:p>
    <w:sectPr w:rsidR="000A1DF9" w:rsidSect="006903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0288" w14:textId="77777777" w:rsidR="00206922" w:rsidRDefault="00206922" w:rsidP="00B604F3">
      <w:r>
        <w:separator/>
      </w:r>
    </w:p>
  </w:endnote>
  <w:endnote w:type="continuationSeparator" w:id="0">
    <w:p w14:paraId="1F3F796B" w14:textId="77777777" w:rsidR="00206922" w:rsidRDefault="00206922"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7224" w14:textId="77777777" w:rsidR="00A577A5" w:rsidRDefault="00A57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25DF" w14:textId="77777777" w:rsidR="0031553B" w:rsidRDefault="0031553B" w:rsidP="007143D8">
    <w:pPr>
      <w:pStyle w:val="Footer"/>
      <w:tabs>
        <w:tab w:val="left" w:pos="473"/>
        <w:tab w:val="right" w:pos="10080"/>
      </w:tabs>
    </w:pPr>
  </w:p>
  <w:p w14:paraId="54352366" w14:textId="7F9620AE" w:rsidR="007143D8" w:rsidRPr="00A31838" w:rsidRDefault="007143D8" w:rsidP="007143D8">
    <w:pPr>
      <w:pStyle w:val="Footer"/>
      <w:tabs>
        <w:tab w:val="left" w:pos="473"/>
        <w:tab w:val="right" w:pos="10080"/>
      </w:tabs>
    </w:pPr>
    <w:r w:rsidRPr="00A31838">
      <w:t xml:space="preserve">Rider to </w:t>
    </w:r>
    <w:r>
      <w:t>Loan Agreement</w:t>
    </w:r>
    <w:r w:rsidRPr="00A31838">
      <w:t xml:space="preserve"> </w:t>
    </w:r>
  </w:p>
  <w:p w14:paraId="036F8DAB" w14:textId="76181B37" w:rsidR="00E73FB7" w:rsidRDefault="000A1DF9" w:rsidP="003B2B06">
    <w:pPr>
      <w:pStyle w:val="Footer"/>
      <w:tabs>
        <w:tab w:val="clear" w:pos="9360"/>
        <w:tab w:val="right" w:pos="10080"/>
      </w:tabs>
    </w:pPr>
    <w:r>
      <w:t xml:space="preserve">Tax </w:t>
    </w:r>
    <w:r w:rsidR="00D1175A">
      <w:t xml:space="preserve">Credit </w:t>
    </w:r>
    <w:r w:rsidR="00E33B0B">
      <w:t>Property</w:t>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12DB" w14:textId="77777777" w:rsidR="0031553B" w:rsidRDefault="0031553B" w:rsidP="006903FD">
    <w:pPr>
      <w:pStyle w:val="Footer"/>
      <w:tabs>
        <w:tab w:val="left" w:pos="473"/>
        <w:tab w:val="right" w:pos="10080"/>
      </w:tabs>
    </w:pPr>
  </w:p>
  <w:p w14:paraId="22D2B3CD" w14:textId="7103B4D6" w:rsidR="006903FD" w:rsidRPr="00A31838" w:rsidRDefault="006903FD" w:rsidP="006903FD">
    <w:pPr>
      <w:pStyle w:val="Footer"/>
      <w:tabs>
        <w:tab w:val="left" w:pos="473"/>
        <w:tab w:val="right" w:pos="10080"/>
      </w:tabs>
      <w:rPr>
        <w:sz w:val="18"/>
        <w:szCs w:val="18"/>
      </w:rPr>
    </w:pP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A98A" w14:textId="77777777" w:rsidR="00206922" w:rsidRDefault="00206922" w:rsidP="00B604F3">
      <w:r>
        <w:separator/>
      </w:r>
    </w:p>
  </w:footnote>
  <w:footnote w:type="continuationSeparator" w:id="0">
    <w:p w14:paraId="7DDADE12" w14:textId="77777777" w:rsidR="00206922" w:rsidRDefault="00206922"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F4F0" w14:textId="77777777" w:rsidR="00A577A5" w:rsidRDefault="00A57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A497" w14:textId="77777777" w:rsidR="00A577A5" w:rsidRDefault="00A57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E887" w14:textId="77777777" w:rsidR="00A577A5" w:rsidRDefault="00A57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1F9"/>
    <w:multiLevelType w:val="hybridMultilevel"/>
    <w:tmpl w:val="0CAA2A5A"/>
    <w:lvl w:ilvl="0" w:tplc="ED5A34E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054BD0"/>
    <w:multiLevelType w:val="hybridMultilevel"/>
    <w:tmpl w:val="E1A87EA4"/>
    <w:lvl w:ilvl="0" w:tplc="5AD866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648BA"/>
    <w:multiLevelType w:val="hybridMultilevel"/>
    <w:tmpl w:val="2B1677B0"/>
    <w:lvl w:ilvl="0" w:tplc="74D0E3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3976723">
    <w:abstractNumId w:val="2"/>
  </w:num>
  <w:num w:numId="2" w16cid:durableId="1523279948">
    <w:abstractNumId w:val="1"/>
  </w:num>
  <w:num w:numId="3" w16cid:durableId="1272323341">
    <w:abstractNumId w:val="3"/>
  </w:num>
  <w:num w:numId="4" w16cid:durableId="122810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36F86"/>
    <w:rsid w:val="000A0450"/>
    <w:rsid w:val="000A1DF9"/>
    <w:rsid w:val="000D54A7"/>
    <w:rsid w:val="000D767D"/>
    <w:rsid w:val="000F547E"/>
    <w:rsid w:val="00147E71"/>
    <w:rsid w:val="00156809"/>
    <w:rsid w:val="001708BC"/>
    <w:rsid w:val="00175BA2"/>
    <w:rsid w:val="00185C23"/>
    <w:rsid w:val="001A1894"/>
    <w:rsid w:val="001D2E30"/>
    <w:rsid w:val="001D6FD7"/>
    <w:rsid w:val="001E0A2F"/>
    <w:rsid w:val="001F25A1"/>
    <w:rsid w:val="00206922"/>
    <w:rsid w:val="00207285"/>
    <w:rsid w:val="002341E6"/>
    <w:rsid w:val="00286396"/>
    <w:rsid w:val="002A12FF"/>
    <w:rsid w:val="002A5C16"/>
    <w:rsid w:val="002C21E5"/>
    <w:rsid w:val="002D6152"/>
    <w:rsid w:val="002E1484"/>
    <w:rsid w:val="002E6D93"/>
    <w:rsid w:val="002F7DE5"/>
    <w:rsid w:val="003143BB"/>
    <w:rsid w:val="0031553B"/>
    <w:rsid w:val="00344AD8"/>
    <w:rsid w:val="003706D5"/>
    <w:rsid w:val="003B2B06"/>
    <w:rsid w:val="003C6116"/>
    <w:rsid w:val="0042162C"/>
    <w:rsid w:val="004579D9"/>
    <w:rsid w:val="00477ACE"/>
    <w:rsid w:val="00480909"/>
    <w:rsid w:val="00484500"/>
    <w:rsid w:val="004F5D17"/>
    <w:rsid w:val="005179C1"/>
    <w:rsid w:val="00531C25"/>
    <w:rsid w:val="00560E9F"/>
    <w:rsid w:val="005C5A12"/>
    <w:rsid w:val="005F7525"/>
    <w:rsid w:val="0061553D"/>
    <w:rsid w:val="00627761"/>
    <w:rsid w:val="00644F74"/>
    <w:rsid w:val="006774AF"/>
    <w:rsid w:val="006903FD"/>
    <w:rsid w:val="006A1F77"/>
    <w:rsid w:val="006C057C"/>
    <w:rsid w:val="006F0BEA"/>
    <w:rsid w:val="00704C2C"/>
    <w:rsid w:val="007143D8"/>
    <w:rsid w:val="00714FDB"/>
    <w:rsid w:val="007277EA"/>
    <w:rsid w:val="007513F8"/>
    <w:rsid w:val="007726A0"/>
    <w:rsid w:val="00774DDC"/>
    <w:rsid w:val="007865A3"/>
    <w:rsid w:val="00814CA3"/>
    <w:rsid w:val="0085636D"/>
    <w:rsid w:val="008A74BB"/>
    <w:rsid w:val="008C3C15"/>
    <w:rsid w:val="009404FA"/>
    <w:rsid w:val="00981844"/>
    <w:rsid w:val="0098551B"/>
    <w:rsid w:val="009B3079"/>
    <w:rsid w:val="009C1734"/>
    <w:rsid w:val="00A009A1"/>
    <w:rsid w:val="00A133AC"/>
    <w:rsid w:val="00A31838"/>
    <w:rsid w:val="00A506EE"/>
    <w:rsid w:val="00A51C85"/>
    <w:rsid w:val="00A577A5"/>
    <w:rsid w:val="00A76D3C"/>
    <w:rsid w:val="00AA6FE7"/>
    <w:rsid w:val="00AB052E"/>
    <w:rsid w:val="00AB4CA8"/>
    <w:rsid w:val="00AC2878"/>
    <w:rsid w:val="00B2597B"/>
    <w:rsid w:val="00B604F3"/>
    <w:rsid w:val="00B72078"/>
    <w:rsid w:val="00BD7E5B"/>
    <w:rsid w:val="00BF4CEE"/>
    <w:rsid w:val="00C008B4"/>
    <w:rsid w:val="00C165C8"/>
    <w:rsid w:val="00C932EB"/>
    <w:rsid w:val="00C93671"/>
    <w:rsid w:val="00CA22B1"/>
    <w:rsid w:val="00D0194F"/>
    <w:rsid w:val="00D03B97"/>
    <w:rsid w:val="00D1175A"/>
    <w:rsid w:val="00D24CFC"/>
    <w:rsid w:val="00D43338"/>
    <w:rsid w:val="00D63968"/>
    <w:rsid w:val="00D6684F"/>
    <w:rsid w:val="00D92550"/>
    <w:rsid w:val="00DB6B04"/>
    <w:rsid w:val="00E255D7"/>
    <w:rsid w:val="00E33B0B"/>
    <w:rsid w:val="00E73FB7"/>
    <w:rsid w:val="00E77081"/>
    <w:rsid w:val="00E944F7"/>
    <w:rsid w:val="00EB67F0"/>
    <w:rsid w:val="00EF2A33"/>
    <w:rsid w:val="00EF3992"/>
    <w:rsid w:val="00F01F85"/>
    <w:rsid w:val="00F845BB"/>
    <w:rsid w:val="00F87B42"/>
    <w:rsid w:val="00FB35BC"/>
    <w:rsid w:val="00FE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ExDStdProvsNormal">
    <w:name w:val="ExDStdProvsNormal"/>
    <w:rsid w:val="00D1175A"/>
    <w:pPr>
      <w:spacing w:after="0" w:line="240" w:lineRule="auto"/>
    </w:pPr>
    <w:rPr>
      <w:rFonts w:ascii="Times New Roman" w:eastAsia="Times New Roman" w:hAnsi="Times New Roman" w:cs="Times New Roman"/>
      <w:color w:val="auto"/>
      <w:sz w:val="24"/>
      <w:szCs w:val="24"/>
    </w:rPr>
  </w:style>
  <w:style w:type="paragraph" w:customStyle="1" w:styleId="NormalHangingIndent3">
    <w:name w:val="Normal (Hanging Indent 3)"/>
    <w:basedOn w:val="Normal"/>
    <w:next w:val="Normal"/>
    <w:rsid w:val="00D1175A"/>
    <w:pPr>
      <w:spacing w:after="240"/>
      <w:ind w:left="2160" w:hanging="720"/>
      <w:jc w:val="both"/>
    </w:pPr>
    <w:rPr>
      <w:rFonts w:ascii="Times New Roman" w:hAnsi="Times New Roman"/>
      <w:sz w:val="24"/>
      <w:szCs w:val="24"/>
    </w:rPr>
  </w:style>
  <w:style w:type="paragraph" w:styleId="Subtitle">
    <w:name w:val="Subtitle"/>
    <w:basedOn w:val="Normal"/>
    <w:next w:val="Normal"/>
    <w:link w:val="SubtitleChar"/>
    <w:uiPriority w:val="11"/>
    <w:qFormat/>
    <w:rsid w:val="00D1175A"/>
    <w:pPr>
      <w:spacing w:after="60" w:line="276" w:lineRule="auto"/>
      <w:jc w:val="center"/>
      <w:outlineLvl w:val="1"/>
    </w:pPr>
    <w:rPr>
      <w:rFonts w:ascii="Calibri Light" w:hAnsi="Calibri Light"/>
      <w:sz w:val="24"/>
      <w:szCs w:val="24"/>
    </w:rPr>
  </w:style>
  <w:style w:type="character" w:customStyle="1" w:styleId="SubtitleChar">
    <w:name w:val="Subtitle Char"/>
    <w:basedOn w:val="DefaultParagraphFont"/>
    <w:link w:val="Subtitle"/>
    <w:uiPriority w:val="11"/>
    <w:rsid w:val="00D1175A"/>
    <w:rPr>
      <w:rFonts w:ascii="Calibri Light" w:eastAsia="Times New Roman" w:hAnsi="Calibri Light" w:cs="Times New Roman"/>
      <w:color w:val="auto"/>
      <w:sz w:val="24"/>
      <w:szCs w:val="24"/>
    </w:rPr>
  </w:style>
  <w:style w:type="paragraph" w:customStyle="1" w:styleId="CoverPageLoanNumberandName">
    <w:name w:val="Cover Page (Loan Number and Name)"/>
    <w:basedOn w:val="Normal"/>
    <w:rsid w:val="00814CA3"/>
    <w:pPr>
      <w:spacing w:after="24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A009A1"/>
    <w:rPr>
      <w:sz w:val="16"/>
      <w:szCs w:val="16"/>
    </w:rPr>
  </w:style>
  <w:style w:type="paragraph" w:styleId="CommentText">
    <w:name w:val="annotation text"/>
    <w:basedOn w:val="Normal"/>
    <w:link w:val="CommentTextChar"/>
    <w:uiPriority w:val="99"/>
    <w:unhideWhenUsed/>
    <w:rsid w:val="00A009A1"/>
  </w:style>
  <w:style w:type="character" w:customStyle="1" w:styleId="CommentTextChar">
    <w:name w:val="Comment Text Char"/>
    <w:basedOn w:val="DefaultParagraphFont"/>
    <w:link w:val="CommentText"/>
    <w:uiPriority w:val="99"/>
    <w:rsid w:val="00A009A1"/>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A009A1"/>
    <w:rPr>
      <w:b/>
      <w:bCs/>
    </w:rPr>
  </w:style>
  <w:style w:type="character" w:customStyle="1" w:styleId="CommentSubjectChar">
    <w:name w:val="Comment Subject Char"/>
    <w:basedOn w:val="CommentTextChar"/>
    <w:link w:val="CommentSubject"/>
    <w:uiPriority w:val="99"/>
    <w:semiHidden/>
    <w:rsid w:val="00A009A1"/>
    <w:rPr>
      <w:rFonts w:eastAsia="Times New Roman" w:cs="Times New Roman"/>
      <w:b/>
      <w:bCs/>
      <w:color w:val="auto"/>
      <w:szCs w:val="20"/>
    </w:rPr>
  </w:style>
  <w:style w:type="paragraph" w:styleId="Revision">
    <w:name w:val="Revision"/>
    <w:hidden/>
    <w:uiPriority w:val="99"/>
    <w:semiHidden/>
    <w:rsid w:val="00F87B42"/>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2024-03-20T11:16:00Z</dcterms:created>
  <dcterms:modified xsi:type="dcterms:W3CDTF">2024-03-20T14:49:00Z</dcterms:modified>
</cp:coreProperties>
</file>