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348" w:rsidRDefault="002D1060" w:rsidP="00ED3012">
      <w:pPr>
        <w:rPr>
          <w:rFonts w:ascii="Arial" w:hAnsi="Arial" w:cs="Arial"/>
          <w:bCs/>
          <w:sz w:val="20"/>
          <w:szCs w:val="20"/>
        </w:rPr>
      </w:pPr>
      <w:bookmarkStart w:id="0" w:name="_GoBack"/>
      <w:bookmarkEnd w:id="0"/>
      <w:r w:rsidRPr="000458D3">
        <w:rPr>
          <w:rFonts w:ascii="Arial" w:hAnsi="Arial" w:cs="Arial"/>
          <w:noProof/>
          <w:sz w:val="20"/>
          <w:szCs w:val="20"/>
        </w:rPr>
        <mc:AlternateContent>
          <mc:Choice Requires="wps">
            <w:drawing>
              <wp:anchor distT="0" distB="0" distL="114300" distR="114300" simplePos="0" relativeHeight="251660288" behindDoc="0" locked="0" layoutInCell="1" allowOverlap="1" wp14:anchorId="525714BF" wp14:editId="71C3CDC8">
                <wp:simplePos x="0" y="0"/>
                <wp:positionH relativeFrom="column">
                  <wp:posOffset>3406140</wp:posOffset>
                </wp:positionH>
                <wp:positionV relativeFrom="paragraph">
                  <wp:posOffset>-1270</wp:posOffset>
                </wp:positionV>
                <wp:extent cx="3054350" cy="387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387350"/>
                        </a:xfrm>
                        <a:prstGeom prst="rect">
                          <a:avLst/>
                        </a:prstGeom>
                        <a:solidFill>
                          <a:srgbClr val="FFFFFF"/>
                        </a:solidFill>
                        <a:ln w="9525">
                          <a:noFill/>
                          <a:miter lim="800000"/>
                          <a:headEnd/>
                          <a:tailEnd/>
                        </a:ln>
                      </wps:spPr>
                      <wps:txbx>
                        <w:txbxContent>
                          <w:p w:rsidR="000458D3" w:rsidRPr="000458D3" w:rsidRDefault="005E0348" w:rsidP="000458D3">
                            <w:pPr>
                              <w:spacing w:after="0"/>
                              <w:rPr>
                                <w:rFonts w:ascii="Arial" w:hAnsi="Arial" w:cs="Arial"/>
                                <w:b/>
                                <w:color w:val="00A6E2"/>
                                <w:sz w:val="20"/>
                                <w:szCs w:val="20"/>
                              </w:rPr>
                            </w:pPr>
                            <w:r>
                              <w:rPr>
                                <w:rFonts w:ascii="Arial" w:hAnsi="Arial" w:cs="Arial"/>
                                <w:b/>
                                <w:color w:val="00A6E2"/>
                                <w:sz w:val="20"/>
                                <w:szCs w:val="20"/>
                              </w:rPr>
                              <w:t>Loan Agreement Rider – TAH Express</w:t>
                            </w:r>
                            <w:r w:rsidR="000458D3" w:rsidRPr="000458D3">
                              <w:rPr>
                                <w:rFonts w:ascii="Arial" w:hAnsi="Arial" w:cs="Arial"/>
                                <w:b/>
                                <w:color w:val="00A6E2"/>
                                <w:sz w:val="20"/>
                                <w:szCs w:val="20"/>
                              </w:rPr>
                              <w:t xml:space="preserve"> </w:t>
                            </w:r>
                          </w:p>
                          <w:p w:rsidR="000458D3" w:rsidRPr="000458D3" w:rsidRDefault="005E0348" w:rsidP="000458D3">
                            <w:pPr>
                              <w:rPr>
                                <w:rFonts w:ascii="Arial" w:hAnsi="Arial" w:cs="Arial"/>
                                <w:b/>
                                <w:color w:val="00A6E2"/>
                                <w:sz w:val="20"/>
                                <w:szCs w:val="20"/>
                              </w:rPr>
                            </w:pPr>
                            <w:r>
                              <w:rPr>
                                <w:rFonts w:ascii="Arial" w:hAnsi="Arial" w:cs="Arial"/>
                                <w:b/>
                                <w:color w:val="00A6E2"/>
                                <w:sz w:val="20"/>
                                <w:szCs w:val="20"/>
                              </w:rPr>
                              <w:t>Tax Credit Properties</w:t>
                            </w:r>
                            <w:r w:rsidR="000458D3" w:rsidRPr="000458D3">
                              <w:rPr>
                                <w:rFonts w:ascii="Arial" w:hAnsi="Arial" w:cs="Arial"/>
                                <w:b/>
                                <w:color w:val="00A6E2"/>
                                <w:sz w:val="20"/>
                                <w:szCs w:val="20"/>
                              </w:rPr>
                              <w:t xml:space="preserve"> (Revised </w:t>
                            </w:r>
                            <w:r w:rsidR="001C4FE7">
                              <w:rPr>
                                <w:rFonts w:ascii="Arial" w:hAnsi="Arial" w:cs="Arial"/>
                                <w:b/>
                                <w:color w:val="00A6E2"/>
                                <w:sz w:val="20"/>
                                <w:szCs w:val="20"/>
                              </w:rPr>
                              <w:t>05</w:t>
                            </w:r>
                            <w:r w:rsidR="000458D3" w:rsidRPr="000458D3">
                              <w:rPr>
                                <w:rFonts w:ascii="Arial" w:hAnsi="Arial" w:cs="Arial"/>
                                <w:b/>
                                <w:color w:val="00A6E2"/>
                                <w:sz w:val="20"/>
                                <w:szCs w:val="20"/>
                              </w:rPr>
                              <w:t>-</w:t>
                            </w:r>
                            <w:r w:rsidR="008E33B6">
                              <w:rPr>
                                <w:rFonts w:ascii="Arial" w:hAnsi="Arial" w:cs="Arial"/>
                                <w:b/>
                                <w:color w:val="00A6E2"/>
                                <w:sz w:val="20"/>
                                <w:szCs w:val="20"/>
                              </w:rPr>
                              <w:t>20</w:t>
                            </w:r>
                            <w:r w:rsidR="000458D3" w:rsidRPr="000458D3">
                              <w:rPr>
                                <w:rFonts w:ascii="Arial" w:hAnsi="Arial" w:cs="Arial"/>
                                <w:b/>
                                <w:color w:val="00A6E2"/>
                                <w:sz w:val="20"/>
                                <w:szCs w:val="20"/>
                              </w:rPr>
                              <w:t>-20</w:t>
                            </w:r>
                            <w:r w:rsidR="00015FBA">
                              <w:rPr>
                                <w:rFonts w:ascii="Arial" w:hAnsi="Arial" w:cs="Arial"/>
                                <w:b/>
                                <w:color w:val="00A6E2"/>
                                <w:sz w:val="20"/>
                                <w:szCs w:val="20"/>
                              </w:rPr>
                              <w:t>1</w:t>
                            </w:r>
                            <w:r w:rsidR="008E33B6">
                              <w:rPr>
                                <w:rFonts w:ascii="Arial" w:hAnsi="Arial" w:cs="Arial"/>
                                <w:b/>
                                <w:color w:val="00A6E2"/>
                                <w:sz w:val="20"/>
                                <w:szCs w:val="20"/>
                              </w:rPr>
                              <w:t>9</w:t>
                            </w:r>
                            <w:r w:rsidR="000458D3" w:rsidRPr="000458D3">
                              <w:rPr>
                                <w:rFonts w:ascii="Arial" w:hAnsi="Arial" w:cs="Arial"/>
                                <w:b/>
                                <w:color w:val="00A6E2"/>
                                <w:sz w:val="20"/>
                                <w:szCs w:val="20"/>
                              </w:rPr>
                              <w:t>)</w:t>
                            </w:r>
                          </w:p>
                          <w:p w:rsidR="000458D3" w:rsidRDefault="000458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714BF" id="_x0000_t202" coordsize="21600,21600" o:spt="202" path="m,l,21600r21600,l21600,xe">
                <v:stroke joinstyle="miter"/>
                <v:path gradientshapeok="t" o:connecttype="rect"/>
              </v:shapetype>
              <v:shape id="Text Box 2" o:spid="_x0000_s1026" type="#_x0000_t202" style="position:absolute;left:0;text-align:left;margin-left:268.2pt;margin-top:-.1pt;width:240.5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hKHw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" stroked="f">
                <v:textbox>
                  <w:txbxContent>
                    <w:p w:rsidR="000458D3" w:rsidRPr="000458D3" w:rsidRDefault="005E0348" w:rsidP="000458D3">
                      <w:pPr>
                        <w:spacing w:after="0"/>
                        <w:rPr>
                          <w:rFonts w:ascii="Arial" w:hAnsi="Arial" w:cs="Arial"/>
                          <w:b/>
                          <w:color w:val="00A6E2"/>
                          <w:sz w:val="20"/>
                          <w:szCs w:val="20"/>
                        </w:rPr>
                      </w:pPr>
                      <w:r>
                        <w:rPr>
                          <w:rFonts w:ascii="Arial" w:hAnsi="Arial" w:cs="Arial"/>
                          <w:b/>
                          <w:color w:val="00A6E2"/>
                          <w:sz w:val="20"/>
                          <w:szCs w:val="20"/>
                        </w:rPr>
                        <w:t>Loan Agreement Rider – TAH Express</w:t>
                      </w:r>
                      <w:r w:rsidR="000458D3" w:rsidRPr="000458D3">
                        <w:rPr>
                          <w:rFonts w:ascii="Arial" w:hAnsi="Arial" w:cs="Arial"/>
                          <w:b/>
                          <w:color w:val="00A6E2"/>
                          <w:sz w:val="20"/>
                          <w:szCs w:val="20"/>
                        </w:rPr>
                        <w:t xml:space="preserve"> </w:t>
                      </w:r>
                    </w:p>
                    <w:p w:rsidR="000458D3" w:rsidRPr="000458D3" w:rsidRDefault="005E0348" w:rsidP="000458D3">
                      <w:pPr>
                        <w:rPr>
                          <w:rFonts w:ascii="Arial" w:hAnsi="Arial" w:cs="Arial"/>
                          <w:b/>
                          <w:color w:val="00A6E2"/>
                          <w:sz w:val="20"/>
                          <w:szCs w:val="20"/>
                        </w:rPr>
                      </w:pPr>
                      <w:r>
                        <w:rPr>
                          <w:rFonts w:ascii="Arial" w:hAnsi="Arial" w:cs="Arial"/>
                          <w:b/>
                          <w:color w:val="00A6E2"/>
                          <w:sz w:val="20"/>
                          <w:szCs w:val="20"/>
                        </w:rPr>
                        <w:t>Tax Credit Properties</w:t>
                      </w:r>
                      <w:r w:rsidR="000458D3" w:rsidRPr="000458D3">
                        <w:rPr>
                          <w:rFonts w:ascii="Arial" w:hAnsi="Arial" w:cs="Arial"/>
                          <w:b/>
                          <w:color w:val="00A6E2"/>
                          <w:sz w:val="20"/>
                          <w:szCs w:val="20"/>
                        </w:rPr>
                        <w:t xml:space="preserve"> (Revised </w:t>
                      </w:r>
                      <w:r w:rsidR="001C4FE7">
                        <w:rPr>
                          <w:rFonts w:ascii="Arial" w:hAnsi="Arial" w:cs="Arial"/>
                          <w:b/>
                          <w:color w:val="00A6E2"/>
                          <w:sz w:val="20"/>
                          <w:szCs w:val="20"/>
                        </w:rPr>
                        <w:t>05</w:t>
                      </w:r>
                      <w:r w:rsidR="000458D3" w:rsidRPr="000458D3">
                        <w:rPr>
                          <w:rFonts w:ascii="Arial" w:hAnsi="Arial" w:cs="Arial"/>
                          <w:b/>
                          <w:color w:val="00A6E2"/>
                          <w:sz w:val="20"/>
                          <w:szCs w:val="20"/>
                        </w:rPr>
                        <w:t>-</w:t>
                      </w:r>
                      <w:r w:rsidR="008E33B6">
                        <w:rPr>
                          <w:rFonts w:ascii="Arial" w:hAnsi="Arial" w:cs="Arial"/>
                          <w:b/>
                          <w:color w:val="00A6E2"/>
                          <w:sz w:val="20"/>
                          <w:szCs w:val="20"/>
                        </w:rPr>
                        <w:t>20</w:t>
                      </w:r>
                      <w:r w:rsidR="000458D3" w:rsidRPr="000458D3">
                        <w:rPr>
                          <w:rFonts w:ascii="Arial" w:hAnsi="Arial" w:cs="Arial"/>
                          <w:b/>
                          <w:color w:val="00A6E2"/>
                          <w:sz w:val="20"/>
                          <w:szCs w:val="20"/>
                        </w:rPr>
                        <w:t>-20</w:t>
                      </w:r>
                      <w:r w:rsidR="00015FBA">
                        <w:rPr>
                          <w:rFonts w:ascii="Arial" w:hAnsi="Arial" w:cs="Arial"/>
                          <w:b/>
                          <w:color w:val="00A6E2"/>
                          <w:sz w:val="20"/>
                          <w:szCs w:val="20"/>
                        </w:rPr>
                        <w:t>1</w:t>
                      </w:r>
                      <w:r w:rsidR="008E33B6">
                        <w:rPr>
                          <w:rFonts w:ascii="Arial" w:hAnsi="Arial" w:cs="Arial"/>
                          <w:b/>
                          <w:color w:val="00A6E2"/>
                          <w:sz w:val="20"/>
                          <w:szCs w:val="20"/>
                        </w:rPr>
                        <w:t>9</w:t>
                      </w:r>
                      <w:r w:rsidR="000458D3" w:rsidRPr="000458D3">
                        <w:rPr>
                          <w:rFonts w:ascii="Arial" w:hAnsi="Arial" w:cs="Arial"/>
                          <w:b/>
                          <w:color w:val="00A6E2"/>
                          <w:sz w:val="20"/>
                          <w:szCs w:val="20"/>
                        </w:rPr>
                        <w:t>)</w:t>
                      </w:r>
                    </w:p>
                    <w:p w:rsidR="000458D3" w:rsidRDefault="000458D3"/>
                  </w:txbxContent>
                </v:textbox>
              </v:shape>
            </w:pict>
          </mc:Fallback>
        </mc:AlternateContent>
      </w:r>
      <w:r w:rsidR="000458D3">
        <w:rPr>
          <w:rFonts w:ascii="Arial" w:hAnsi="Arial" w:cs="Arial"/>
          <w:noProof/>
          <w:sz w:val="20"/>
          <w:szCs w:val="20"/>
        </w:rPr>
        <w:drawing>
          <wp:anchor distT="0" distB="0" distL="114300" distR="114300" simplePos="0" relativeHeight="251658240" behindDoc="1" locked="0" layoutInCell="1" allowOverlap="1" wp14:anchorId="31C4FB3C" wp14:editId="6CE6F04E">
            <wp:simplePos x="0" y="0"/>
            <wp:positionH relativeFrom="column">
              <wp:posOffset>0</wp:posOffset>
            </wp:positionH>
            <wp:positionV relativeFrom="paragraph">
              <wp:posOffset>-590550</wp:posOffset>
            </wp:positionV>
            <wp:extent cx="1846580" cy="641350"/>
            <wp:effectExtent l="0" t="0" r="1270" b="6350"/>
            <wp:wrapTight wrapText="bothSides">
              <wp:wrapPolygon edited="0">
                <wp:start x="0" y="0"/>
                <wp:lineTo x="0" y="21172"/>
                <wp:lineTo x="21392" y="21172"/>
                <wp:lineTo x="21392" y="0"/>
                <wp:lineTo x="0" y="0"/>
              </wp:wrapPolygon>
            </wp:wrapTight>
            <wp:docPr id="1" name="Picture 1" descr="C:\Users\F401245\AppData\Local\Microsoft\Windows\Temporary Internet Files\Content.Outlook\FX6X4GBF\fm_mf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401245\AppData\Local\Microsoft\Windows\Temporary Internet Files\Content.Outlook\FX6X4GBF\fm_mf_colo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6580" cy="641350"/>
                    </a:xfrm>
                    <a:prstGeom prst="rect">
                      <a:avLst/>
                    </a:prstGeom>
                    <a:noFill/>
                    <a:ln>
                      <a:noFill/>
                    </a:ln>
                  </pic:spPr>
                </pic:pic>
              </a:graphicData>
            </a:graphic>
            <wp14:sizeRelH relativeFrom="margin">
              <wp14:pctWidth>0</wp14:pctWidth>
            </wp14:sizeRelH>
          </wp:anchor>
        </w:drawing>
      </w:r>
    </w:p>
    <w:p w:rsidR="005E0348" w:rsidRDefault="005E0348" w:rsidP="00E309D2">
      <w:pPr>
        <w:pStyle w:val="NormalHangingIndent2"/>
        <w:keepNext/>
        <w:spacing w:after="0"/>
        <w:ind w:left="0" w:firstLine="0"/>
        <w:rPr>
          <w:rFonts w:ascii="Arial" w:hAnsi="Arial" w:cs="Arial"/>
          <w:bCs/>
          <w:sz w:val="20"/>
          <w:szCs w:val="20"/>
        </w:rPr>
      </w:pPr>
    </w:p>
    <w:p w:rsidR="005E0348" w:rsidRDefault="005E0348" w:rsidP="00E309D2">
      <w:pPr>
        <w:pStyle w:val="NormalHangingIndent2"/>
        <w:keepNext/>
        <w:spacing w:after="0"/>
        <w:ind w:left="0" w:firstLine="0"/>
        <w:rPr>
          <w:rFonts w:ascii="Arial" w:hAnsi="Arial" w:cs="Arial"/>
          <w:bCs/>
          <w:sz w:val="20"/>
          <w:szCs w:val="20"/>
        </w:rPr>
      </w:pPr>
    </w:p>
    <w:p w:rsidR="00E309D2" w:rsidRDefault="00E309D2" w:rsidP="00E309D2">
      <w:pPr>
        <w:pStyle w:val="NormalHangingIndent2"/>
        <w:keepNext/>
        <w:spacing w:after="0"/>
        <w:ind w:left="0" w:firstLine="0"/>
        <w:rPr>
          <w:rFonts w:ascii="Arial" w:hAnsi="Arial" w:cs="Arial"/>
          <w:bCs/>
          <w:sz w:val="20"/>
          <w:szCs w:val="20"/>
        </w:rPr>
      </w:pPr>
    </w:p>
    <w:p w:rsidR="00375909" w:rsidRDefault="00375909" w:rsidP="004F38E9">
      <w:pPr>
        <w:pStyle w:val="NormalHangingIndent2"/>
        <w:keepNext/>
        <w:spacing w:after="0"/>
        <w:rPr>
          <w:rFonts w:ascii="Arial" w:hAnsi="Arial" w:cs="Arial"/>
          <w:bCs/>
          <w:sz w:val="20"/>
          <w:szCs w:val="20"/>
        </w:rPr>
      </w:pPr>
    </w:p>
    <w:p w:rsidR="00375909" w:rsidRPr="004F38E9" w:rsidRDefault="00375909" w:rsidP="004F38E9">
      <w:pPr>
        <w:spacing w:after="0"/>
        <w:rPr>
          <w:rFonts w:ascii="Arial" w:hAnsi="Arial" w:cs="Arial"/>
          <w:b/>
          <w:sz w:val="20"/>
          <w:szCs w:val="20"/>
        </w:rPr>
      </w:pPr>
      <w:r w:rsidRPr="004F38E9">
        <w:rPr>
          <w:rFonts w:ascii="Arial" w:hAnsi="Arial" w:cs="Arial"/>
          <w:b/>
          <w:sz w:val="20"/>
          <w:szCs w:val="20"/>
          <w:highlight w:val="yellow"/>
        </w:rPr>
        <w:t>[IF THE TAX CREDIT INVESTOR IS NO LONGER IN THE BORROWER OWNERSHIP STRUCTURE ON THE CLOSING DATE, DELETE THE FOLLOWING SECTIONS A, E., AND G., AND MARK THEM “RESERVED.”]</w:t>
      </w:r>
    </w:p>
    <w:p w:rsidR="00375909" w:rsidRDefault="00375909" w:rsidP="004F38E9">
      <w:pPr>
        <w:pStyle w:val="NormalHangingIndent2"/>
        <w:keepNext/>
        <w:spacing w:after="0"/>
        <w:ind w:left="0" w:firstLine="0"/>
        <w:rPr>
          <w:rFonts w:ascii="Arial" w:hAnsi="Arial" w:cs="Arial"/>
          <w:bCs/>
          <w:sz w:val="20"/>
          <w:szCs w:val="20"/>
        </w:rPr>
      </w:pPr>
    </w:p>
    <w:p w:rsidR="000D568F" w:rsidRDefault="000D568F" w:rsidP="005E0348">
      <w:pPr>
        <w:pStyle w:val="NormalHangingIndent2"/>
        <w:keepNext/>
        <w:numPr>
          <w:ilvl w:val="0"/>
          <w:numId w:val="6"/>
        </w:numPr>
        <w:spacing w:after="0"/>
        <w:rPr>
          <w:rFonts w:ascii="Arial" w:hAnsi="Arial" w:cs="Arial"/>
          <w:bCs/>
          <w:sz w:val="20"/>
          <w:szCs w:val="20"/>
        </w:rPr>
      </w:pPr>
      <w:r>
        <w:rPr>
          <w:rFonts w:ascii="Arial" w:hAnsi="Arial" w:cs="Arial"/>
          <w:bCs/>
          <w:sz w:val="20"/>
          <w:szCs w:val="20"/>
        </w:rPr>
        <w:t xml:space="preserve">The following new table is added to Article I of the Loan Agreement: </w:t>
      </w:r>
    </w:p>
    <w:p w:rsidR="00865ECC" w:rsidRPr="002767D8" w:rsidRDefault="00865ECC" w:rsidP="002767D8">
      <w:pPr>
        <w:spacing w:after="0"/>
      </w:pPr>
    </w:p>
    <w:tbl>
      <w:tblPr>
        <w:tblStyle w:val="TableGrid"/>
        <w:tblW w:w="0" w:type="auto"/>
        <w:tblLook w:val="04A0" w:firstRow="1" w:lastRow="0" w:firstColumn="1" w:lastColumn="0" w:noHBand="0" w:noVBand="1"/>
      </w:tblPr>
      <w:tblGrid>
        <w:gridCol w:w="5035"/>
        <w:gridCol w:w="5035"/>
      </w:tblGrid>
      <w:tr w:rsidR="000D568F" w:rsidTr="008A63CB">
        <w:tc>
          <w:tcPr>
            <w:tcW w:w="10070" w:type="dxa"/>
            <w:gridSpan w:val="2"/>
            <w:shd w:val="clear" w:color="auto" w:fill="F2F2F2" w:themeFill="background1" w:themeFillShade="F2"/>
          </w:tcPr>
          <w:p w:rsidR="000D568F" w:rsidRDefault="00865ECC" w:rsidP="008A63CB">
            <w:pPr>
              <w:spacing w:after="0"/>
            </w:pPr>
            <w:r>
              <w:t>T</w:t>
            </w:r>
            <w:r w:rsidR="00D64170">
              <w:t>ax Credit Property</w:t>
            </w:r>
          </w:p>
        </w:tc>
      </w:tr>
      <w:tr w:rsidR="000D568F" w:rsidTr="000D568F">
        <w:tc>
          <w:tcPr>
            <w:tcW w:w="5035" w:type="dxa"/>
          </w:tcPr>
          <w:p w:rsidR="000D568F" w:rsidRDefault="00824A4B" w:rsidP="008A63CB">
            <w:pPr>
              <w:spacing w:after="0"/>
            </w:pPr>
            <w:r>
              <w:t>Equity Investor</w:t>
            </w:r>
          </w:p>
        </w:tc>
        <w:tc>
          <w:tcPr>
            <w:tcW w:w="5035" w:type="dxa"/>
          </w:tcPr>
          <w:p w:rsidR="000D568F" w:rsidRDefault="000D568F" w:rsidP="008A63CB">
            <w:pPr>
              <w:spacing w:after="0"/>
            </w:pPr>
          </w:p>
        </w:tc>
      </w:tr>
      <w:tr w:rsidR="000D568F" w:rsidTr="000D568F">
        <w:tc>
          <w:tcPr>
            <w:tcW w:w="5035" w:type="dxa"/>
          </w:tcPr>
          <w:p w:rsidR="000D568F" w:rsidRDefault="00824A4B" w:rsidP="008A63CB">
            <w:pPr>
              <w:spacing w:after="0"/>
            </w:pPr>
            <w:r>
              <w:t>Borrower GP/Manager</w:t>
            </w:r>
          </w:p>
        </w:tc>
        <w:tc>
          <w:tcPr>
            <w:tcW w:w="5035" w:type="dxa"/>
          </w:tcPr>
          <w:p w:rsidR="000D568F" w:rsidRDefault="000D568F" w:rsidP="008A63CB">
            <w:pPr>
              <w:spacing w:after="0"/>
            </w:pPr>
          </w:p>
        </w:tc>
      </w:tr>
      <w:tr w:rsidR="000D568F" w:rsidTr="000D568F">
        <w:tc>
          <w:tcPr>
            <w:tcW w:w="5035" w:type="dxa"/>
          </w:tcPr>
          <w:p w:rsidR="000D568F" w:rsidRDefault="00824A4B" w:rsidP="008A63CB">
            <w:pPr>
              <w:spacing w:after="0"/>
            </w:pPr>
            <w:r w:rsidRPr="002767D8">
              <w:t>Borrower Sponsor</w:t>
            </w:r>
          </w:p>
        </w:tc>
        <w:tc>
          <w:tcPr>
            <w:tcW w:w="5035" w:type="dxa"/>
          </w:tcPr>
          <w:p w:rsidR="000D568F" w:rsidRDefault="000D568F" w:rsidP="008A63CB">
            <w:pPr>
              <w:spacing w:after="0"/>
            </w:pPr>
          </w:p>
        </w:tc>
      </w:tr>
    </w:tbl>
    <w:p w:rsidR="000D568F" w:rsidRPr="008A63CB" w:rsidRDefault="000D568F" w:rsidP="008A63CB"/>
    <w:p w:rsidR="00E309D2" w:rsidRDefault="005E0348">
      <w:pPr>
        <w:pStyle w:val="NormalHangingIndent2"/>
        <w:keepNext/>
        <w:numPr>
          <w:ilvl w:val="0"/>
          <w:numId w:val="6"/>
        </w:numPr>
        <w:spacing w:after="0"/>
        <w:rPr>
          <w:rFonts w:ascii="Arial" w:hAnsi="Arial" w:cs="Arial"/>
          <w:bCs/>
          <w:sz w:val="20"/>
          <w:szCs w:val="20"/>
        </w:rPr>
      </w:pPr>
      <w:r>
        <w:rPr>
          <w:rFonts w:ascii="Arial" w:hAnsi="Arial" w:cs="Arial"/>
          <w:bCs/>
          <w:sz w:val="20"/>
          <w:szCs w:val="20"/>
        </w:rPr>
        <w:t xml:space="preserve">Section </w:t>
      </w:r>
      <w:r w:rsidR="00102038">
        <w:rPr>
          <w:rFonts w:ascii="Arial" w:hAnsi="Arial" w:cs="Arial"/>
          <w:bCs/>
          <w:sz w:val="20"/>
          <w:szCs w:val="20"/>
        </w:rPr>
        <w:t>3.</w:t>
      </w:r>
      <w:r w:rsidR="00EE4162">
        <w:rPr>
          <w:rFonts w:ascii="Arial" w:hAnsi="Arial" w:cs="Arial"/>
          <w:bCs/>
          <w:sz w:val="20"/>
          <w:szCs w:val="20"/>
        </w:rPr>
        <w:t>03(</w:t>
      </w:r>
      <w:r w:rsidR="00D80E13">
        <w:rPr>
          <w:rFonts w:ascii="Arial" w:hAnsi="Arial" w:cs="Arial"/>
          <w:bCs/>
          <w:sz w:val="20"/>
          <w:szCs w:val="20"/>
        </w:rPr>
        <w:t>t</w:t>
      </w:r>
      <w:r w:rsidR="00EE4162">
        <w:rPr>
          <w:rFonts w:ascii="Arial" w:hAnsi="Arial" w:cs="Arial"/>
          <w:bCs/>
          <w:sz w:val="20"/>
          <w:szCs w:val="20"/>
        </w:rPr>
        <w:t xml:space="preserve">) </w:t>
      </w:r>
      <w:r>
        <w:rPr>
          <w:rFonts w:ascii="Arial" w:hAnsi="Arial" w:cs="Arial"/>
          <w:bCs/>
          <w:sz w:val="20"/>
          <w:szCs w:val="20"/>
        </w:rPr>
        <w:t>is</w:t>
      </w:r>
      <w:r w:rsidR="00A233AE">
        <w:rPr>
          <w:rFonts w:ascii="Arial" w:hAnsi="Arial" w:cs="Arial"/>
          <w:bCs/>
          <w:sz w:val="20"/>
          <w:szCs w:val="20"/>
        </w:rPr>
        <w:t xml:space="preserve"> deleted and replaced with the following</w:t>
      </w:r>
      <w:r>
        <w:rPr>
          <w:rFonts w:ascii="Arial" w:hAnsi="Arial" w:cs="Arial"/>
          <w:bCs/>
          <w:sz w:val="20"/>
          <w:szCs w:val="20"/>
        </w:rPr>
        <w:t>:</w:t>
      </w:r>
    </w:p>
    <w:p w:rsidR="005E0348" w:rsidRPr="005E0348" w:rsidRDefault="005E0348" w:rsidP="005E0348">
      <w:pPr>
        <w:rPr>
          <w:rFonts w:ascii="Arial" w:hAnsi="Arial" w:cs="Arial"/>
          <w:sz w:val="20"/>
          <w:szCs w:val="20"/>
        </w:rPr>
      </w:pPr>
    </w:p>
    <w:p w:rsidR="00516763" w:rsidRDefault="00EE4162" w:rsidP="004F38E9">
      <w:pPr>
        <w:ind w:left="2160" w:hanging="720"/>
        <w:rPr>
          <w:rFonts w:ascii="Arial" w:hAnsi="Arial" w:cs="Arial"/>
          <w:sz w:val="20"/>
          <w:szCs w:val="20"/>
        </w:rPr>
      </w:pPr>
      <w:r w:rsidRPr="008A63CB">
        <w:rPr>
          <w:rFonts w:ascii="Arial" w:hAnsi="Arial" w:cs="Arial"/>
          <w:sz w:val="20"/>
          <w:szCs w:val="20"/>
        </w:rPr>
        <w:t>(</w:t>
      </w:r>
      <w:r w:rsidR="00D80E13">
        <w:rPr>
          <w:rFonts w:ascii="Arial" w:hAnsi="Arial" w:cs="Arial"/>
          <w:sz w:val="20"/>
          <w:szCs w:val="20"/>
        </w:rPr>
        <w:t>t</w:t>
      </w:r>
      <w:r w:rsidRPr="008A63CB">
        <w:rPr>
          <w:rFonts w:ascii="Arial" w:hAnsi="Arial" w:cs="Arial"/>
          <w:sz w:val="20"/>
          <w:szCs w:val="20"/>
        </w:rPr>
        <w:t xml:space="preserve">) </w:t>
      </w:r>
      <w:r w:rsidR="00375909">
        <w:rPr>
          <w:rFonts w:ascii="Arial" w:hAnsi="Arial" w:cs="Arial"/>
          <w:sz w:val="20"/>
          <w:szCs w:val="20"/>
        </w:rPr>
        <w:tab/>
      </w:r>
      <w:r w:rsidR="005E0348" w:rsidRPr="00EE4162">
        <w:rPr>
          <w:rFonts w:ascii="Arial" w:hAnsi="Arial" w:cs="Arial"/>
          <w:sz w:val="20"/>
          <w:szCs w:val="20"/>
        </w:rPr>
        <w:t>Borrower fails to comply with the requirements of</w:t>
      </w:r>
      <w:r w:rsidR="00A233AE">
        <w:rPr>
          <w:rFonts w:ascii="Arial" w:hAnsi="Arial" w:cs="Arial"/>
          <w:sz w:val="20"/>
          <w:szCs w:val="20"/>
        </w:rPr>
        <w:t xml:space="preserve"> </w:t>
      </w:r>
      <w:r w:rsidR="005E0348" w:rsidRPr="00EE4162">
        <w:rPr>
          <w:rFonts w:ascii="Arial" w:hAnsi="Arial" w:cs="Arial"/>
          <w:sz w:val="20"/>
          <w:szCs w:val="20"/>
        </w:rPr>
        <w:t xml:space="preserve">Section </w:t>
      </w:r>
      <w:r w:rsidR="00102038" w:rsidRPr="00EE4162">
        <w:rPr>
          <w:rFonts w:ascii="Arial" w:hAnsi="Arial" w:cs="Arial"/>
          <w:sz w:val="20"/>
          <w:szCs w:val="20"/>
        </w:rPr>
        <w:t>5.2</w:t>
      </w:r>
      <w:r w:rsidR="00D80E13">
        <w:rPr>
          <w:rFonts w:ascii="Arial" w:hAnsi="Arial" w:cs="Arial"/>
          <w:sz w:val="20"/>
          <w:szCs w:val="20"/>
        </w:rPr>
        <w:t>9</w:t>
      </w:r>
      <w:r w:rsidR="00C13324" w:rsidRPr="00EE4162">
        <w:rPr>
          <w:rFonts w:ascii="Arial" w:hAnsi="Arial" w:cs="Arial"/>
          <w:sz w:val="20"/>
          <w:szCs w:val="20"/>
        </w:rPr>
        <w:t xml:space="preserve"> of this</w:t>
      </w:r>
      <w:r w:rsidR="005E0348" w:rsidRPr="00EE4162">
        <w:rPr>
          <w:rFonts w:ascii="Arial" w:hAnsi="Arial" w:cs="Arial"/>
          <w:sz w:val="20"/>
          <w:szCs w:val="20"/>
        </w:rPr>
        <w:t xml:space="preserve"> Loan Ag</w:t>
      </w:r>
      <w:r w:rsidR="00102038" w:rsidRPr="00EE4162">
        <w:rPr>
          <w:rFonts w:ascii="Arial" w:hAnsi="Arial" w:cs="Arial"/>
          <w:sz w:val="20"/>
          <w:szCs w:val="20"/>
        </w:rPr>
        <w:t>reement</w:t>
      </w:r>
      <w:r w:rsidRPr="008A63CB">
        <w:rPr>
          <w:rFonts w:ascii="Arial" w:hAnsi="Arial" w:cs="Arial"/>
          <w:sz w:val="20"/>
          <w:szCs w:val="20"/>
        </w:rPr>
        <w:t xml:space="preserve"> (related to Tax Credits)</w:t>
      </w:r>
      <w:r w:rsidR="00102038" w:rsidRPr="00EE4162">
        <w:rPr>
          <w:rFonts w:ascii="Arial" w:hAnsi="Arial" w:cs="Arial"/>
          <w:sz w:val="20"/>
          <w:szCs w:val="20"/>
        </w:rPr>
        <w:t>.</w:t>
      </w:r>
    </w:p>
    <w:p w:rsidR="003278B9" w:rsidRDefault="00516763" w:rsidP="008A63CB">
      <w:pPr>
        <w:ind w:firstLine="720"/>
        <w:rPr>
          <w:rFonts w:ascii="Arial" w:hAnsi="Arial" w:cs="Arial"/>
          <w:sz w:val="20"/>
          <w:szCs w:val="20"/>
        </w:rPr>
      </w:pPr>
      <w:r>
        <w:rPr>
          <w:rFonts w:ascii="Arial" w:hAnsi="Arial" w:cs="Arial"/>
          <w:sz w:val="20"/>
          <w:szCs w:val="20"/>
        </w:rPr>
        <w:t>C.</w:t>
      </w:r>
      <w:r w:rsidR="003278B9">
        <w:rPr>
          <w:rFonts w:ascii="Arial" w:hAnsi="Arial" w:cs="Arial"/>
          <w:sz w:val="20"/>
          <w:szCs w:val="20"/>
        </w:rPr>
        <w:tab/>
      </w:r>
      <w:r w:rsidRPr="008A63CB">
        <w:rPr>
          <w:rFonts w:ascii="Arial" w:hAnsi="Arial" w:cs="Arial"/>
          <w:sz w:val="20"/>
          <w:szCs w:val="20"/>
        </w:rPr>
        <w:t>Section 5.2</w:t>
      </w:r>
      <w:r w:rsidR="00D80E13">
        <w:rPr>
          <w:rFonts w:ascii="Arial" w:hAnsi="Arial" w:cs="Arial"/>
          <w:sz w:val="20"/>
          <w:szCs w:val="20"/>
        </w:rPr>
        <w:t>9</w:t>
      </w:r>
      <w:r w:rsidRPr="008A63CB">
        <w:rPr>
          <w:rFonts w:ascii="Arial" w:hAnsi="Arial" w:cs="Arial"/>
          <w:sz w:val="20"/>
          <w:szCs w:val="20"/>
        </w:rPr>
        <w:t xml:space="preserve"> is </w:t>
      </w:r>
      <w:r w:rsidR="00A233AE">
        <w:rPr>
          <w:rFonts w:ascii="Arial" w:hAnsi="Arial" w:cs="Arial"/>
          <w:sz w:val="20"/>
          <w:szCs w:val="20"/>
        </w:rPr>
        <w:t>deleted and replaced with the following</w:t>
      </w:r>
      <w:r w:rsidRPr="008A63CB">
        <w:rPr>
          <w:rFonts w:ascii="Arial" w:hAnsi="Arial" w:cs="Arial"/>
          <w:sz w:val="20"/>
          <w:szCs w:val="20"/>
        </w:rPr>
        <w:t>:</w:t>
      </w:r>
    </w:p>
    <w:p w:rsidR="00516763" w:rsidRDefault="00516763" w:rsidP="008A63CB">
      <w:pPr>
        <w:ind w:left="720" w:firstLine="720"/>
        <w:rPr>
          <w:rFonts w:ascii="Arial" w:hAnsi="Arial" w:cs="Arial"/>
          <w:sz w:val="20"/>
          <w:szCs w:val="20"/>
        </w:rPr>
      </w:pPr>
      <w:r>
        <w:rPr>
          <w:rFonts w:ascii="Arial" w:hAnsi="Arial" w:cs="Arial"/>
          <w:b/>
          <w:sz w:val="20"/>
          <w:szCs w:val="20"/>
        </w:rPr>
        <w:t>5.2</w:t>
      </w:r>
      <w:r w:rsidR="00D80E13">
        <w:rPr>
          <w:rFonts w:ascii="Arial" w:hAnsi="Arial" w:cs="Arial"/>
          <w:b/>
          <w:sz w:val="20"/>
          <w:szCs w:val="20"/>
        </w:rPr>
        <w:t>9</w:t>
      </w:r>
      <w:r>
        <w:rPr>
          <w:rFonts w:ascii="Arial" w:hAnsi="Arial" w:cs="Arial"/>
          <w:b/>
          <w:sz w:val="20"/>
          <w:szCs w:val="20"/>
        </w:rPr>
        <w:tab/>
      </w:r>
      <w:r w:rsidRPr="00C16128">
        <w:rPr>
          <w:rFonts w:ascii="Arial" w:hAnsi="Arial" w:cs="Arial"/>
          <w:b/>
          <w:sz w:val="20"/>
          <w:szCs w:val="20"/>
        </w:rPr>
        <w:t>Tax Credit Proper</w:t>
      </w:r>
      <w:r>
        <w:rPr>
          <w:rFonts w:ascii="Arial" w:hAnsi="Arial" w:cs="Arial"/>
          <w:b/>
          <w:sz w:val="20"/>
          <w:szCs w:val="20"/>
        </w:rPr>
        <w:t>ty</w:t>
      </w:r>
      <w:r>
        <w:rPr>
          <w:rFonts w:ascii="Arial" w:hAnsi="Arial" w:cs="Arial"/>
          <w:sz w:val="20"/>
          <w:szCs w:val="20"/>
        </w:rPr>
        <w:t xml:space="preserve">.  Borrower represents and warrants </w:t>
      </w:r>
      <w:proofErr w:type="gramStart"/>
      <w:r>
        <w:rPr>
          <w:rFonts w:ascii="Arial" w:hAnsi="Arial" w:cs="Arial"/>
          <w:sz w:val="20"/>
          <w:szCs w:val="20"/>
        </w:rPr>
        <w:t>all of</w:t>
      </w:r>
      <w:proofErr w:type="gramEnd"/>
      <w:r>
        <w:rPr>
          <w:rFonts w:ascii="Arial" w:hAnsi="Arial" w:cs="Arial"/>
          <w:sz w:val="20"/>
          <w:szCs w:val="20"/>
        </w:rPr>
        <w:t xml:space="preserve"> the following are correct:</w:t>
      </w:r>
    </w:p>
    <w:p w:rsidR="00516763" w:rsidRDefault="00516763" w:rsidP="00200DEF">
      <w:pPr>
        <w:pStyle w:val="ListParagraph"/>
        <w:numPr>
          <w:ilvl w:val="0"/>
          <w:numId w:val="8"/>
        </w:numPr>
        <w:ind w:left="2610" w:hanging="450"/>
        <w:rPr>
          <w:rFonts w:ascii="Arial" w:hAnsi="Arial" w:cs="Arial"/>
          <w:sz w:val="20"/>
          <w:szCs w:val="20"/>
        </w:rPr>
      </w:pPr>
      <w:r>
        <w:rPr>
          <w:rFonts w:ascii="Arial" w:hAnsi="Arial" w:cs="Arial"/>
          <w:sz w:val="20"/>
          <w:szCs w:val="20"/>
        </w:rPr>
        <w:t xml:space="preserve">Borrower is in compliance with all requirements of the extended low-income housing regulatory agreement or restrictive covenants executed by Borrower and the agency of the Property Jurisdiction designated to allocate the low-income housing tax credits </w:t>
      </w:r>
      <w:r w:rsidR="00375909">
        <w:rPr>
          <w:rFonts w:ascii="Arial" w:hAnsi="Arial" w:cs="Arial"/>
          <w:sz w:val="20"/>
          <w:szCs w:val="20"/>
        </w:rPr>
        <w:t>e</w:t>
      </w:r>
      <w:r>
        <w:rPr>
          <w:rFonts w:ascii="Arial" w:hAnsi="Arial" w:cs="Arial"/>
          <w:sz w:val="20"/>
          <w:szCs w:val="20"/>
        </w:rPr>
        <w:t>(the “Tax Credits”) (the “Tax Credit Agency”) and recorded in the land records for the Property Jurisdiction, setting forth the terms under which the Mortgaged Property is to be operated and which must meet the requirements of the United States Tax Code Section 42(h)(6)(B) (the “Tax Credit Regulatory Agreement”).</w:t>
      </w:r>
    </w:p>
    <w:p w:rsidR="00516763" w:rsidRDefault="00516763" w:rsidP="00200DEF">
      <w:pPr>
        <w:pStyle w:val="ListParagraph"/>
        <w:numPr>
          <w:ilvl w:val="0"/>
          <w:numId w:val="8"/>
        </w:numPr>
        <w:ind w:left="2610" w:hanging="450"/>
        <w:rPr>
          <w:rFonts w:ascii="Arial" w:hAnsi="Arial" w:cs="Arial"/>
          <w:sz w:val="20"/>
          <w:szCs w:val="20"/>
        </w:rPr>
      </w:pPr>
      <w:r>
        <w:rPr>
          <w:rFonts w:ascii="Arial" w:hAnsi="Arial" w:cs="Arial"/>
          <w:sz w:val="20"/>
          <w:szCs w:val="20"/>
        </w:rPr>
        <w:t>Borrower has not received any notice from the Tax Credit Agency that Borrower is in default under the Tax Credit Regulatory Agreement.</w:t>
      </w:r>
    </w:p>
    <w:p w:rsidR="00516763" w:rsidRDefault="00516763" w:rsidP="00200DEF">
      <w:pPr>
        <w:pStyle w:val="ListParagraph"/>
        <w:numPr>
          <w:ilvl w:val="0"/>
          <w:numId w:val="8"/>
        </w:numPr>
        <w:ind w:left="2610" w:hanging="450"/>
        <w:rPr>
          <w:rFonts w:ascii="Arial" w:hAnsi="Arial" w:cs="Arial"/>
          <w:sz w:val="20"/>
          <w:szCs w:val="20"/>
        </w:rPr>
      </w:pPr>
      <w:r>
        <w:rPr>
          <w:rFonts w:ascii="Arial" w:hAnsi="Arial" w:cs="Arial"/>
          <w:sz w:val="20"/>
          <w:szCs w:val="20"/>
        </w:rPr>
        <w:t>The copy of the Tax Credit Regulatory Agreement that Borrower has provided to Lender includes all amendments, schedules and exhibits and is complete in all respects.</w:t>
      </w:r>
    </w:p>
    <w:p w:rsidR="00200DEF" w:rsidRDefault="00200DEF" w:rsidP="008A63CB">
      <w:pPr>
        <w:ind w:firstLine="720"/>
        <w:rPr>
          <w:rFonts w:ascii="Arial" w:hAnsi="Arial" w:cs="Arial"/>
          <w:sz w:val="20"/>
          <w:szCs w:val="20"/>
        </w:rPr>
      </w:pPr>
      <w:r w:rsidRPr="008A63CB">
        <w:rPr>
          <w:rFonts w:ascii="Arial" w:hAnsi="Arial" w:cs="Arial"/>
          <w:sz w:val="20"/>
          <w:szCs w:val="20"/>
        </w:rPr>
        <w:t>D.</w:t>
      </w:r>
      <w:r w:rsidRPr="008A63CB">
        <w:rPr>
          <w:rFonts w:ascii="Arial" w:hAnsi="Arial" w:cs="Arial"/>
          <w:sz w:val="20"/>
          <w:szCs w:val="20"/>
        </w:rPr>
        <w:tab/>
        <w:t>Section 6.2</w:t>
      </w:r>
      <w:r w:rsidR="00D80E13">
        <w:rPr>
          <w:rFonts w:ascii="Arial" w:hAnsi="Arial" w:cs="Arial"/>
          <w:sz w:val="20"/>
          <w:szCs w:val="20"/>
        </w:rPr>
        <w:t>5</w:t>
      </w:r>
      <w:r w:rsidRPr="008A63CB">
        <w:rPr>
          <w:rFonts w:ascii="Arial" w:hAnsi="Arial" w:cs="Arial"/>
          <w:sz w:val="20"/>
          <w:szCs w:val="20"/>
        </w:rPr>
        <w:t xml:space="preserve"> is </w:t>
      </w:r>
      <w:r w:rsidR="00A233AE">
        <w:rPr>
          <w:rFonts w:ascii="Arial" w:hAnsi="Arial" w:cs="Arial"/>
          <w:sz w:val="20"/>
          <w:szCs w:val="20"/>
        </w:rPr>
        <w:t>deleted and replaced with the following</w:t>
      </w:r>
      <w:r w:rsidRPr="008A63CB">
        <w:rPr>
          <w:rFonts w:ascii="Arial" w:hAnsi="Arial" w:cs="Arial"/>
          <w:sz w:val="20"/>
          <w:szCs w:val="20"/>
        </w:rPr>
        <w:t>:</w:t>
      </w:r>
    </w:p>
    <w:p w:rsidR="00200DEF" w:rsidRDefault="00200DEF" w:rsidP="008A63CB">
      <w:pPr>
        <w:pStyle w:val="ListParagraph"/>
        <w:ind w:left="1080" w:firstLine="360"/>
        <w:rPr>
          <w:rFonts w:ascii="Arial" w:hAnsi="Arial" w:cs="Arial"/>
          <w:sz w:val="20"/>
          <w:szCs w:val="20"/>
        </w:rPr>
      </w:pPr>
      <w:r w:rsidRPr="00BB0ABA">
        <w:rPr>
          <w:rFonts w:ascii="Arial" w:hAnsi="Arial" w:cs="Arial"/>
          <w:b/>
          <w:sz w:val="20"/>
          <w:szCs w:val="20"/>
        </w:rPr>
        <w:t>6.2</w:t>
      </w:r>
      <w:r w:rsidR="00D80E13">
        <w:rPr>
          <w:rFonts w:ascii="Arial" w:hAnsi="Arial" w:cs="Arial"/>
          <w:b/>
          <w:sz w:val="20"/>
          <w:szCs w:val="20"/>
        </w:rPr>
        <w:t>5</w:t>
      </w:r>
      <w:r>
        <w:rPr>
          <w:rFonts w:ascii="Arial" w:hAnsi="Arial" w:cs="Arial"/>
          <w:sz w:val="20"/>
          <w:szCs w:val="20"/>
        </w:rPr>
        <w:tab/>
      </w:r>
      <w:r w:rsidRPr="00BB0ABA">
        <w:rPr>
          <w:rFonts w:ascii="Arial" w:hAnsi="Arial" w:cs="Arial"/>
          <w:b/>
          <w:sz w:val="20"/>
          <w:szCs w:val="20"/>
        </w:rPr>
        <w:t>Tax credit Property.</w:t>
      </w:r>
      <w:r>
        <w:rPr>
          <w:rFonts w:ascii="Arial" w:hAnsi="Arial" w:cs="Arial"/>
          <w:sz w:val="20"/>
          <w:szCs w:val="20"/>
        </w:rPr>
        <w:t xml:space="preserve"> Borrower will do each of the following:</w:t>
      </w:r>
    </w:p>
    <w:p w:rsidR="00200DEF" w:rsidRDefault="00200DEF" w:rsidP="00200DEF">
      <w:pPr>
        <w:pStyle w:val="ListParagraph"/>
        <w:ind w:left="1800"/>
        <w:rPr>
          <w:rFonts w:ascii="Arial" w:hAnsi="Arial" w:cs="Arial"/>
          <w:sz w:val="20"/>
          <w:szCs w:val="20"/>
        </w:rPr>
      </w:pPr>
    </w:p>
    <w:p w:rsidR="00200DEF" w:rsidRDefault="00200DEF" w:rsidP="00200DEF">
      <w:pPr>
        <w:pStyle w:val="ListParagraph"/>
        <w:numPr>
          <w:ilvl w:val="0"/>
          <w:numId w:val="9"/>
        </w:numPr>
        <w:ind w:left="2700" w:hanging="540"/>
        <w:rPr>
          <w:rFonts w:ascii="Arial" w:hAnsi="Arial" w:cs="Arial"/>
          <w:sz w:val="20"/>
          <w:szCs w:val="20"/>
        </w:rPr>
      </w:pPr>
      <w:r w:rsidRPr="00C13324">
        <w:rPr>
          <w:rFonts w:ascii="Arial" w:hAnsi="Arial" w:cs="Arial"/>
          <w:sz w:val="20"/>
          <w:szCs w:val="20"/>
        </w:rPr>
        <w:t>Borrower will submit to</w:t>
      </w:r>
      <w:r>
        <w:rPr>
          <w:rFonts w:ascii="Arial" w:hAnsi="Arial" w:cs="Arial"/>
          <w:sz w:val="20"/>
          <w:szCs w:val="20"/>
        </w:rPr>
        <w:t xml:space="preserve"> Lender, each year at the time of the annual submission of Borrower’s financial analysis of operations, a copy of the following sections of Borrower’s federal tax return, as applicable: Internal Revenue Forms 1065, 8586, 8609 and Form 8609, Schedule A, which must reflect the total Tax Credits allocated to the Mortgaged Property and the Tax Credits claimed for the Mortgaged Property in the preceding year.</w:t>
      </w:r>
    </w:p>
    <w:p w:rsidR="00200DEF" w:rsidRDefault="00200DEF" w:rsidP="00200DEF">
      <w:pPr>
        <w:pStyle w:val="ListParagraph"/>
        <w:numPr>
          <w:ilvl w:val="0"/>
          <w:numId w:val="9"/>
        </w:numPr>
        <w:ind w:left="2700" w:hanging="540"/>
        <w:rPr>
          <w:rFonts w:ascii="Arial" w:hAnsi="Arial" w:cs="Arial"/>
          <w:sz w:val="20"/>
          <w:szCs w:val="20"/>
        </w:rPr>
      </w:pPr>
      <w:r>
        <w:rPr>
          <w:rFonts w:ascii="Arial" w:hAnsi="Arial" w:cs="Arial"/>
          <w:sz w:val="20"/>
          <w:szCs w:val="20"/>
        </w:rPr>
        <w:t xml:space="preserve">Borrower acknowledges and agrees that any default, event of default or breach (however such terms may be defined) after the expiration of any applicable notice and/or cure periods under the Tax Credit Regulatory Agreement will be an Event of Default under this Loan Agreement and that any costs, damages or other amounts, </w:t>
      </w:r>
      <w:r>
        <w:rPr>
          <w:rFonts w:ascii="Arial" w:hAnsi="Arial" w:cs="Arial"/>
          <w:sz w:val="20"/>
          <w:szCs w:val="20"/>
        </w:rPr>
        <w:lastRenderedPageBreak/>
        <w:t>including reasonable Attorneys’ Fees and Costs incurred by Lender as a result of such an Event of Default by Borrower, including amounts paid to cure any default or event of default under the Tax Credit Regulatory Agreement, will be an obligation of Borrower and become a part of the Indebtedness.</w:t>
      </w:r>
    </w:p>
    <w:p w:rsidR="00200DEF" w:rsidRDefault="00200DEF" w:rsidP="00200DEF">
      <w:pPr>
        <w:pStyle w:val="ListParagraph"/>
        <w:numPr>
          <w:ilvl w:val="0"/>
          <w:numId w:val="9"/>
        </w:numPr>
        <w:ind w:left="2700" w:hanging="540"/>
        <w:rPr>
          <w:rFonts w:ascii="Arial" w:hAnsi="Arial" w:cs="Arial"/>
          <w:sz w:val="20"/>
          <w:szCs w:val="20"/>
        </w:rPr>
      </w:pPr>
      <w:r>
        <w:rPr>
          <w:rFonts w:ascii="Arial" w:hAnsi="Arial" w:cs="Arial"/>
          <w:sz w:val="20"/>
          <w:szCs w:val="20"/>
        </w:rPr>
        <w:t>Borrower will submit annually (or such other shorter period required under the Tax Regulatory Agreement) to Lender evidence that the Mortgaged Property is in ongoing compliance with all income, occupancy and rent restrictions under the Tax Credit Regulatory Agreement relating to the Mortgaged Property. Such submissions to Lender will be made contemporaneously with the submission of reports to the Tax Credit Agency as required under the Tax Credit Regulatory Agreement.</w:t>
      </w:r>
    </w:p>
    <w:p w:rsidR="00C270DD" w:rsidRDefault="00200DEF" w:rsidP="005E0348">
      <w:pPr>
        <w:ind w:left="720"/>
        <w:rPr>
          <w:rFonts w:ascii="Arial" w:hAnsi="Arial" w:cs="Arial"/>
          <w:sz w:val="20"/>
          <w:szCs w:val="20"/>
        </w:rPr>
      </w:pPr>
      <w:r>
        <w:rPr>
          <w:rFonts w:ascii="Arial" w:hAnsi="Arial" w:cs="Arial"/>
          <w:sz w:val="20"/>
          <w:szCs w:val="20"/>
        </w:rPr>
        <w:t>E</w:t>
      </w:r>
      <w:r w:rsidR="00102038">
        <w:rPr>
          <w:rFonts w:ascii="Arial" w:hAnsi="Arial" w:cs="Arial"/>
          <w:sz w:val="20"/>
          <w:szCs w:val="20"/>
        </w:rPr>
        <w:t>.</w:t>
      </w:r>
      <w:r w:rsidR="00102038">
        <w:rPr>
          <w:rFonts w:ascii="Arial" w:hAnsi="Arial" w:cs="Arial"/>
          <w:sz w:val="20"/>
          <w:szCs w:val="20"/>
        </w:rPr>
        <w:tab/>
        <w:t>Section 7.</w:t>
      </w:r>
      <w:r w:rsidR="000D568F">
        <w:rPr>
          <w:rFonts w:ascii="Arial" w:hAnsi="Arial" w:cs="Arial"/>
          <w:sz w:val="20"/>
          <w:szCs w:val="20"/>
        </w:rPr>
        <w:t>03(</w:t>
      </w:r>
      <w:r w:rsidR="00A233AE">
        <w:rPr>
          <w:rFonts w:ascii="Arial" w:hAnsi="Arial" w:cs="Arial"/>
          <w:sz w:val="20"/>
          <w:szCs w:val="20"/>
        </w:rPr>
        <w:t>b</w:t>
      </w:r>
      <w:r w:rsidR="000D568F">
        <w:rPr>
          <w:rFonts w:ascii="Arial" w:hAnsi="Arial" w:cs="Arial"/>
          <w:sz w:val="20"/>
          <w:szCs w:val="20"/>
        </w:rPr>
        <w:t xml:space="preserve">) </w:t>
      </w:r>
      <w:r w:rsidR="00C270DD">
        <w:rPr>
          <w:rFonts w:ascii="Arial" w:hAnsi="Arial" w:cs="Arial"/>
          <w:sz w:val="20"/>
          <w:szCs w:val="20"/>
        </w:rPr>
        <w:t xml:space="preserve">is </w:t>
      </w:r>
      <w:r w:rsidR="00A233AE">
        <w:rPr>
          <w:rFonts w:ascii="Arial" w:hAnsi="Arial" w:cs="Arial"/>
          <w:sz w:val="20"/>
          <w:szCs w:val="20"/>
        </w:rPr>
        <w:t>deleted and replaced with the following</w:t>
      </w:r>
      <w:r w:rsidR="00C270DD">
        <w:rPr>
          <w:rFonts w:ascii="Arial" w:hAnsi="Arial" w:cs="Arial"/>
          <w:sz w:val="20"/>
          <w:szCs w:val="20"/>
        </w:rPr>
        <w:t>:</w:t>
      </w:r>
    </w:p>
    <w:p w:rsidR="00C270DD" w:rsidRPr="00C270DD" w:rsidRDefault="000D568F" w:rsidP="008A63CB">
      <w:pPr>
        <w:pStyle w:val="BodyText"/>
        <w:tabs>
          <w:tab w:val="left" w:pos="2160"/>
        </w:tabs>
        <w:spacing w:after="0"/>
        <w:ind w:left="2160" w:hanging="720"/>
        <w:jc w:val="left"/>
        <w:rPr>
          <w:rFonts w:ascii="Arial" w:hAnsi="Arial" w:cs="Arial"/>
          <w:sz w:val="20"/>
          <w:szCs w:val="20"/>
        </w:rPr>
      </w:pPr>
      <w:r>
        <w:rPr>
          <w:rFonts w:ascii="Arial" w:hAnsi="Arial" w:cs="Arial"/>
          <w:sz w:val="20"/>
          <w:szCs w:val="20"/>
        </w:rPr>
        <w:t>(</w:t>
      </w:r>
      <w:r w:rsidR="00A233AE">
        <w:rPr>
          <w:rFonts w:ascii="Arial" w:hAnsi="Arial" w:cs="Arial"/>
          <w:sz w:val="20"/>
          <w:szCs w:val="20"/>
        </w:rPr>
        <w:t>b</w:t>
      </w:r>
      <w:r>
        <w:rPr>
          <w:rFonts w:ascii="Arial" w:hAnsi="Arial" w:cs="Arial"/>
          <w:sz w:val="20"/>
          <w:szCs w:val="20"/>
        </w:rPr>
        <w:t>)</w:t>
      </w:r>
      <w:r w:rsidR="00C270DD" w:rsidRPr="00C270DD">
        <w:rPr>
          <w:rFonts w:ascii="Arial" w:hAnsi="Arial" w:cs="Arial"/>
          <w:sz w:val="20"/>
          <w:szCs w:val="20"/>
        </w:rPr>
        <w:tab/>
      </w:r>
      <w:r w:rsidR="00C270DD" w:rsidRPr="00102038">
        <w:rPr>
          <w:rFonts w:ascii="Arial" w:hAnsi="Arial" w:cs="Arial"/>
          <w:b/>
          <w:sz w:val="20"/>
          <w:szCs w:val="20"/>
        </w:rPr>
        <w:t xml:space="preserve">Purchase of </w:t>
      </w:r>
      <w:r>
        <w:rPr>
          <w:rFonts w:ascii="Arial" w:hAnsi="Arial" w:cs="Arial"/>
          <w:b/>
          <w:sz w:val="20"/>
          <w:szCs w:val="20"/>
        </w:rPr>
        <w:t xml:space="preserve">Investor Interests in a Tax Credit Property. </w:t>
      </w:r>
      <w:r w:rsidR="00C270DD" w:rsidRPr="00C270DD">
        <w:rPr>
          <w:rFonts w:ascii="Arial" w:hAnsi="Arial" w:cs="Arial"/>
          <w:sz w:val="20"/>
          <w:szCs w:val="20"/>
        </w:rPr>
        <w:br/>
        <w:t xml:space="preserve">After the close of the ten-year “credit period” </w:t>
      </w:r>
      <w:r>
        <w:rPr>
          <w:rFonts w:ascii="Arial" w:hAnsi="Arial" w:cs="Arial"/>
          <w:sz w:val="20"/>
          <w:szCs w:val="20"/>
        </w:rPr>
        <w:t>(</w:t>
      </w:r>
      <w:r w:rsidR="00C270DD" w:rsidRPr="00C270DD">
        <w:rPr>
          <w:rFonts w:ascii="Arial" w:hAnsi="Arial" w:cs="Arial"/>
          <w:sz w:val="20"/>
          <w:szCs w:val="20"/>
        </w:rPr>
        <w:t>as defined in and determined in accordance with Section 42(f) of the Internal Revenue Code</w:t>
      </w:r>
      <w:r>
        <w:rPr>
          <w:rFonts w:ascii="Arial" w:hAnsi="Arial" w:cs="Arial"/>
          <w:sz w:val="20"/>
          <w:szCs w:val="20"/>
        </w:rPr>
        <w:t>)</w:t>
      </w:r>
      <w:r w:rsidR="00C270DD" w:rsidRPr="00C270DD">
        <w:rPr>
          <w:rFonts w:ascii="Arial" w:hAnsi="Arial" w:cs="Arial"/>
          <w:sz w:val="20"/>
          <w:szCs w:val="20"/>
        </w:rPr>
        <w:t xml:space="preserve">, a Transfer </w:t>
      </w:r>
      <w:r>
        <w:rPr>
          <w:rFonts w:ascii="Arial" w:hAnsi="Arial" w:cs="Arial"/>
          <w:sz w:val="20"/>
          <w:szCs w:val="20"/>
        </w:rPr>
        <w:t xml:space="preserve">of </w:t>
      </w:r>
      <w:r w:rsidR="00C270DD" w:rsidRPr="00C270DD">
        <w:rPr>
          <w:rFonts w:ascii="Arial" w:hAnsi="Arial" w:cs="Arial"/>
          <w:sz w:val="20"/>
          <w:szCs w:val="20"/>
        </w:rPr>
        <w:t xml:space="preserve">all the interests in Borrower held </w:t>
      </w:r>
      <w:r w:rsidR="00C270DD" w:rsidRPr="00DB7E82">
        <w:rPr>
          <w:rFonts w:ascii="Arial" w:hAnsi="Arial" w:cs="Arial"/>
          <w:sz w:val="20"/>
          <w:szCs w:val="20"/>
        </w:rPr>
        <w:t>by Equity Investor</w:t>
      </w:r>
      <w:r w:rsidR="00C270DD" w:rsidRPr="00C270DD">
        <w:rPr>
          <w:rFonts w:ascii="Arial" w:hAnsi="Arial" w:cs="Arial"/>
          <w:sz w:val="20"/>
          <w:szCs w:val="20"/>
        </w:rPr>
        <w:t xml:space="preserve"> to an entity that is either d</w:t>
      </w:r>
      <w:r w:rsidR="00B9214C">
        <w:rPr>
          <w:rFonts w:ascii="Arial" w:hAnsi="Arial" w:cs="Arial"/>
          <w:sz w:val="20"/>
          <w:szCs w:val="20"/>
        </w:rPr>
        <w:t>irectly or indirectly owned and under the Control of</w:t>
      </w:r>
      <w:r w:rsidR="00C270DD">
        <w:rPr>
          <w:rFonts w:ascii="Arial" w:hAnsi="Arial" w:cs="Arial"/>
          <w:sz w:val="20"/>
          <w:szCs w:val="20"/>
        </w:rPr>
        <w:t xml:space="preserve"> </w:t>
      </w:r>
      <w:r w:rsidRPr="002767D8">
        <w:rPr>
          <w:rFonts w:ascii="Arial" w:hAnsi="Arial" w:cs="Arial"/>
          <w:sz w:val="20"/>
          <w:szCs w:val="20"/>
        </w:rPr>
        <w:t xml:space="preserve">Borrower Sponsor </w:t>
      </w:r>
      <w:r w:rsidR="00824A4B">
        <w:rPr>
          <w:rFonts w:ascii="Arial" w:hAnsi="Arial" w:cs="Arial"/>
          <w:sz w:val="20"/>
          <w:szCs w:val="20"/>
        </w:rPr>
        <w:t>(“</w:t>
      </w:r>
      <w:r w:rsidR="00824A4B" w:rsidRPr="008A63CB">
        <w:rPr>
          <w:rFonts w:ascii="Arial" w:hAnsi="Arial" w:cs="Arial"/>
          <w:b/>
          <w:sz w:val="20"/>
          <w:szCs w:val="20"/>
        </w:rPr>
        <w:t>Purchase Option Transferee</w:t>
      </w:r>
      <w:r w:rsidR="00824A4B">
        <w:rPr>
          <w:rFonts w:ascii="Arial" w:hAnsi="Arial" w:cs="Arial"/>
          <w:sz w:val="20"/>
          <w:szCs w:val="20"/>
        </w:rPr>
        <w:t>”)</w:t>
      </w:r>
      <w:r w:rsidRPr="00C270DD">
        <w:rPr>
          <w:rFonts w:ascii="Arial" w:hAnsi="Arial" w:cs="Arial"/>
          <w:sz w:val="20"/>
          <w:szCs w:val="20"/>
        </w:rPr>
        <w:t xml:space="preserve"> </w:t>
      </w:r>
      <w:r w:rsidR="00C270DD" w:rsidRPr="00C270DD">
        <w:rPr>
          <w:rFonts w:ascii="Arial" w:hAnsi="Arial" w:cs="Arial"/>
          <w:sz w:val="20"/>
          <w:szCs w:val="20"/>
        </w:rPr>
        <w:t>(“</w:t>
      </w:r>
      <w:r w:rsidR="00C270DD" w:rsidRPr="00C270DD">
        <w:rPr>
          <w:rFonts w:ascii="Arial" w:hAnsi="Arial" w:cs="Arial"/>
          <w:b/>
          <w:sz w:val="20"/>
          <w:szCs w:val="20"/>
        </w:rPr>
        <w:t>Purchase Option Transfer</w:t>
      </w:r>
      <w:r w:rsidR="00C270DD" w:rsidRPr="00C270DD">
        <w:rPr>
          <w:rFonts w:ascii="Arial" w:hAnsi="Arial" w:cs="Arial"/>
          <w:sz w:val="20"/>
          <w:szCs w:val="20"/>
        </w:rPr>
        <w:t>”) provided that each of the following conditions is satisfied:</w:t>
      </w:r>
    </w:p>
    <w:p w:rsidR="00C270DD" w:rsidRPr="00C270DD" w:rsidRDefault="00C270DD" w:rsidP="00C270DD">
      <w:pPr>
        <w:pStyle w:val="BodyText"/>
        <w:tabs>
          <w:tab w:val="left" w:pos="2160"/>
        </w:tabs>
        <w:spacing w:after="0"/>
        <w:ind w:left="2160" w:hanging="720"/>
        <w:rPr>
          <w:rFonts w:ascii="Arial" w:hAnsi="Arial" w:cs="Arial"/>
          <w:sz w:val="20"/>
          <w:szCs w:val="20"/>
        </w:rPr>
      </w:pPr>
    </w:p>
    <w:p w:rsidR="00824A4B" w:rsidRPr="008A63CB" w:rsidRDefault="00824A4B">
      <w:pPr>
        <w:pStyle w:val="ExDStdProvsNormal"/>
        <w:numPr>
          <w:ilvl w:val="4"/>
          <w:numId w:val="10"/>
        </w:numPr>
        <w:spacing w:after="240"/>
        <w:jc w:val="both"/>
        <w:rPr>
          <w:rFonts w:ascii="Arial" w:hAnsi="Arial" w:cs="Arial"/>
          <w:sz w:val="20"/>
          <w:szCs w:val="20"/>
        </w:rPr>
      </w:pPr>
      <w:r w:rsidRPr="008A63CB">
        <w:rPr>
          <w:rFonts w:ascii="Arial" w:hAnsi="Arial" w:cs="Arial"/>
          <w:sz w:val="20"/>
          <w:szCs w:val="20"/>
        </w:rPr>
        <w:t xml:space="preserve">Immediately prior to and following the </w:t>
      </w:r>
      <w:r w:rsidR="005B5ED2">
        <w:rPr>
          <w:rFonts w:ascii="Arial" w:hAnsi="Arial" w:cs="Arial"/>
          <w:sz w:val="20"/>
          <w:szCs w:val="20"/>
        </w:rPr>
        <w:t xml:space="preserve">Purchase Option </w:t>
      </w:r>
      <w:r w:rsidRPr="008A63CB">
        <w:rPr>
          <w:rFonts w:ascii="Arial" w:hAnsi="Arial" w:cs="Arial"/>
          <w:sz w:val="20"/>
          <w:szCs w:val="20"/>
        </w:rPr>
        <w:t>Transfer, each of the following is true:</w:t>
      </w:r>
    </w:p>
    <w:p w:rsidR="00824A4B" w:rsidRDefault="00824A4B" w:rsidP="008A63CB">
      <w:pPr>
        <w:pStyle w:val="Heading6"/>
        <w:rPr>
          <w:rFonts w:ascii="Arial" w:hAnsi="Arial" w:cs="Arial"/>
          <w:sz w:val="20"/>
          <w:szCs w:val="20"/>
        </w:rPr>
      </w:pPr>
      <w:r w:rsidRPr="008A63CB">
        <w:rPr>
          <w:rFonts w:ascii="Arial" w:hAnsi="Arial" w:cs="Arial"/>
          <w:sz w:val="20"/>
          <w:szCs w:val="20"/>
        </w:rPr>
        <w:t xml:space="preserve"> </w:t>
      </w:r>
      <w:r w:rsidR="000D568F" w:rsidRPr="005530B8">
        <w:rPr>
          <w:rFonts w:ascii="Arial" w:hAnsi="Arial" w:cs="Arial"/>
          <w:sz w:val="20"/>
          <w:szCs w:val="20"/>
        </w:rPr>
        <w:t xml:space="preserve">Borrower </w:t>
      </w:r>
      <w:r w:rsidR="00C270DD" w:rsidRPr="008A63CB">
        <w:rPr>
          <w:rFonts w:ascii="Arial" w:hAnsi="Arial" w:cs="Arial"/>
          <w:sz w:val="20"/>
          <w:szCs w:val="20"/>
        </w:rPr>
        <w:t xml:space="preserve">owns the Mortgaged Property </w:t>
      </w:r>
    </w:p>
    <w:p w:rsidR="00824A4B" w:rsidRPr="00A233AE" w:rsidRDefault="00C270DD" w:rsidP="008A63CB">
      <w:pPr>
        <w:pStyle w:val="Heading6"/>
        <w:rPr>
          <w:rFonts w:ascii="Arial" w:hAnsi="Arial" w:cs="Arial"/>
          <w:sz w:val="20"/>
          <w:szCs w:val="20"/>
        </w:rPr>
      </w:pPr>
      <w:r w:rsidRPr="00A233AE">
        <w:rPr>
          <w:rFonts w:ascii="Arial" w:hAnsi="Arial" w:cs="Arial"/>
          <w:sz w:val="20"/>
          <w:szCs w:val="20"/>
        </w:rPr>
        <w:t>Borrower GP/Manager</w:t>
      </w:r>
      <w:r w:rsidR="000D568F" w:rsidRPr="00A233AE">
        <w:rPr>
          <w:rFonts w:ascii="Arial" w:hAnsi="Arial" w:cs="Arial"/>
          <w:sz w:val="20"/>
          <w:szCs w:val="20"/>
        </w:rPr>
        <w:t xml:space="preserve"> </w:t>
      </w:r>
      <w:r w:rsidR="005B5ED2" w:rsidRPr="00A233AE">
        <w:rPr>
          <w:rFonts w:ascii="Arial" w:hAnsi="Arial" w:cs="Arial"/>
          <w:sz w:val="20"/>
          <w:szCs w:val="20"/>
        </w:rPr>
        <w:t xml:space="preserve">remains the Borrower GP/Manager (as defined below) of </w:t>
      </w:r>
      <w:r w:rsidR="00824A4B" w:rsidRPr="00A233AE">
        <w:rPr>
          <w:rFonts w:ascii="Arial" w:hAnsi="Arial" w:cs="Arial"/>
          <w:sz w:val="20"/>
          <w:szCs w:val="20"/>
        </w:rPr>
        <w:t xml:space="preserve">Borrower </w:t>
      </w:r>
    </w:p>
    <w:p w:rsidR="00C270DD" w:rsidRPr="008A63CB" w:rsidRDefault="00824A4B" w:rsidP="008A63CB">
      <w:pPr>
        <w:pStyle w:val="Heading6"/>
        <w:rPr>
          <w:rFonts w:ascii="Arial" w:hAnsi="Arial" w:cs="Arial"/>
          <w:sz w:val="20"/>
          <w:szCs w:val="20"/>
        </w:rPr>
      </w:pPr>
      <w:r w:rsidRPr="002767D8">
        <w:rPr>
          <w:rFonts w:ascii="Arial" w:hAnsi="Arial" w:cs="Arial"/>
          <w:sz w:val="20"/>
          <w:szCs w:val="20"/>
        </w:rPr>
        <w:t>Borrower Sponsor</w:t>
      </w:r>
      <w:r w:rsidRPr="005530B8">
        <w:rPr>
          <w:rFonts w:ascii="Arial" w:hAnsi="Arial" w:cs="Arial"/>
          <w:sz w:val="20"/>
          <w:szCs w:val="20"/>
        </w:rPr>
        <w:t xml:space="preserve"> </w:t>
      </w:r>
      <w:r w:rsidR="00C270DD" w:rsidRPr="005530B8">
        <w:rPr>
          <w:rFonts w:ascii="Arial" w:hAnsi="Arial" w:cs="Arial"/>
          <w:sz w:val="20"/>
          <w:szCs w:val="20"/>
        </w:rPr>
        <w:t xml:space="preserve">owns and controls </w:t>
      </w:r>
      <w:r w:rsidR="00C270DD" w:rsidRPr="008A63CB">
        <w:rPr>
          <w:rFonts w:ascii="Arial" w:hAnsi="Arial" w:cs="Arial"/>
          <w:sz w:val="20"/>
          <w:szCs w:val="20"/>
        </w:rPr>
        <w:t xml:space="preserve">Borrower GP/Manager </w:t>
      </w:r>
    </w:p>
    <w:p w:rsidR="00C270DD" w:rsidRPr="00C270DD" w:rsidRDefault="00C270DD">
      <w:pPr>
        <w:pStyle w:val="ExDStdProvsNormal"/>
        <w:numPr>
          <w:ilvl w:val="4"/>
          <w:numId w:val="10"/>
        </w:numPr>
        <w:spacing w:after="240"/>
        <w:jc w:val="both"/>
        <w:rPr>
          <w:rFonts w:ascii="Arial" w:hAnsi="Arial" w:cs="Arial"/>
          <w:sz w:val="20"/>
          <w:szCs w:val="20"/>
        </w:rPr>
      </w:pPr>
      <w:r w:rsidRPr="00C270DD">
        <w:rPr>
          <w:rFonts w:ascii="Arial" w:hAnsi="Arial" w:cs="Arial"/>
          <w:sz w:val="20"/>
          <w:szCs w:val="20"/>
        </w:rPr>
        <w:t>Borrower pro</w:t>
      </w:r>
      <w:r>
        <w:rPr>
          <w:rFonts w:ascii="Arial" w:hAnsi="Arial" w:cs="Arial"/>
          <w:sz w:val="20"/>
          <w:szCs w:val="20"/>
        </w:rPr>
        <w:t xml:space="preserve">vides </w:t>
      </w:r>
      <w:r w:rsidRPr="00C270DD">
        <w:rPr>
          <w:rFonts w:ascii="Arial" w:hAnsi="Arial" w:cs="Arial"/>
          <w:sz w:val="20"/>
          <w:szCs w:val="20"/>
        </w:rPr>
        <w:t xml:space="preserve">Lender with </w:t>
      </w:r>
      <w:r w:rsidR="00824A4B">
        <w:rPr>
          <w:rFonts w:ascii="Arial" w:hAnsi="Arial" w:cs="Arial"/>
          <w:sz w:val="20"/>
          <w:szCs w:val="20"/>
        </w:rPr>
        <w:t xml:space="preserve">30 days prior </w:t>
      </w:r>
      <w:r w:rsidRPr="00C270DD">
        <w:rPr>
          <w:rFonts w:ascii="Arial" w:hAnsi="Arial" w:cs="Arial"/>
          <w:sz w:val="20"/>
          <w:szCs w:val="20"/>
        </w:rPr>
        <w:t xml:space="preserve">Notice of the </w:t>
      </w:r>
      <w:r w:rsidR="00824A4B">
        <w:rPr>
          <w:rFonts w:ascii="Arial" w:hAnsi="Arial" w:cs="Arial"/>
          <w:sz w:val="20"/>
          <w:szCs w:val="20"/>
        </w:rPr>
        <w:t xml:space="preserve">proposed Transfer and pays the </w:t>
      </w:r>
      <w:r w:rsidR="005B5ED2">
        <w:rPr>
          <w:rFonts w:ascii="Arial" w:hAnsi="Arial" w:cs="Arial"/>
          <w:sz w:val="20"/>
          <w:szCs w:val="20"/>
        </w:rPr>
        <w:t xml:space="preserve">Purchase Option </w:t>
      </w:r>
      <w:r w:rsidR="00824A4B">
        <w:rPr>
          <w:rFonts w:ascii="Arial" w:hAnsi="Arial" w:cs="Arial"/>
          <w:sz w:val="20"/>
          <w:szCs w:val="20"/>
        </w:rPr>
        <w:t xml:space="preserve">Transfer Processing Fee to Lender. </w:t>
      </w:r>
    </w:p>
    <w:p w:rsidR="00EE4162" w:rsidRPr="005530B8" w:rsidRDefault="00EE4162" w:rsidP="00C270DD">
      <w:pPr>
        <w:pStyle w:val="ExDStdProvsNormal"/>
        <w:numPr>
          <w:ilvl w:val="4"/>
          <w:numId w:val="10"/>
        </w:numPr>
        <w:spacing w:after="240"/>
        <w:jc w:val="both"/>
        <w:rPr>
          <w:rFonts w:ascii="Arial" w:hAnsi="Arial" w:cs="Arial"/>
          <w:sz w:val="20"/>
          <w:szCs w:val="20"/>
        </w:rPr>
      </w:pPr>
      <w:r>
        <w:rPr>
          <w:rFonts w:ascii="Arial" w:hAnsi="Arial" w:cs="Arial"/>
          <w:sz w:val="20"/>
        </w:rPr>
        <w:t xml:space="preserve">Borrower pays </w:t>
      </w:r>
      <w:r w:rsidRPr="0015402F">
        <w:rPr>
          <w:rFonts w:ascii="Arial" w:hAnsi="Arial" w:cs="Arial"/>
          <w:sz w:val="20"/>
        </w:rPr>
        <w:t xml:space="preserve">Lender </w:t>
      </w:r>
      <w:r>
        <w:rPr>
          <w:rFonts w:ascii="Arial" w:hAnsi="Arial" w:cs="Arial"/>
          <w:sz w:val="20"/>
        </w:rPr>
        <w:t xml:space="preserve">all of Lender’s </w:t>
      </w:r>
      <w:r w:rsidRPr="0015402F">
        <w:rPr>
          <w:rFonts w:ascii="Arial" w:hAnsi="Arial" w:cs="Arial"/>
          <w:sz w:val="20"/>
        </w:rPr>
        <w:t>costs, including the cost of all title searches, title insurance and recording costs, and all Attorneys’ Fees and Costs; provided, however, that Lender will not be entitled to collect a Transfer Fee.</w:t>
      </w:r>
    </w:p>
    <w:p w:rsidR="00EE4162" w:rsidRPr="00C270DD" w:rsidRDefault="00EE4162" w:rsidP="00EE4162">
      <w:pPr>
        <w:pStyle w:val="ExDStdProvsNormal"/>
        <w:numPr>
          <w:ilvl w:val="4"/>
          <w:numId w:val="10"/>
        </w:numPr>
        <w:spacing w:after="240"/>
        <w:jc w:val="both"/>
        <w:rPr>
          <w:rFonts w:ascii="Arial" w:hAnsi="Arial" w:cs="Arial"/>
          <w:sz w:val="20"/>
          <w:szCs w:val="20"/>
        </w:rPr>
      </w:pPr>
      <w:r w:rsidRPr="00C270DD">
        <w:rPr>
          <w:rFonts w:ascii="Arial" w:hAnsi="Arial" w:cs="Arial"/>
          <w:sz w:val="20"/>
          <w:szCs w:val="20"/>
        </w:rPr>
        <w:t>At the time of the Purchase Option Transfer, no Event of Default has occurred and is continuing and no event or condition has occurred and is continuing that, with the giving of Notice or the passage of time, or both, would become an Event of Default.</w:t>
      </w:r>
    </w:p>
    <w:p w:rsidR="00EE4162" w:rsidRPr="00C270DD" w:rsidRDefault="00EE4162" w:rsidP="00EE4162">
      <w:pPr>
        <w:pStyle w:val="ExDStdProvsNormal"/>
        <w:numPr>
          <w:ilvl w:val="4"/>
          <w:numId w:val="10"/>
        </w:numPr>
        <w:spacing w:after="240"/>
        <w:jc w:val="both"/>
        <w:rPr>
          <w:rFonts w:ascii="Arial" w:hAnsi="Arial" w:cs="Arial"/>
          <w:sz w:val="20"/>
          <w:szCs w:val="20"/>
        </w:rPr>
      </w:pPr>
      <w:r>
        <w:rPr>
          <w:rFonts w:ascii="Arial" w:hAnsi="Arial" w:cs="Arial"/>
          <w:sz w:val="20"/>
          <w:szCs w:val="20"/>
        </w:rPr>
        <w:t xml:space="preserve">Lender determines that Purchase Option Transferee’s </w:t>
      </w:r>
      <w:r w:rsidRPr="0015402F">
        <w:rPr>
          <w:rFonts w:ascii="Arial" w:hAnsi="Arial" w:cs="Arial"/>
          <w:sz w:val="20"/>
        </w:rPr>
        <w:t>organization, credit and experience are appropriate to the overall structure and documentation of the existing financing</w:t>
      </w:r>
      <w:r>
        <w:rPr>
          <w:rFonts w:ascii="Arial" w:hAnsi="Arial" w:cs="Arial"/>
          <w:sz w:val="20"/>
        </w:rPr>
        <w:t xml:space="preserve">, and </w:t>
      </w:r>
      <w:r>
        <w:rPr>
          <w:rFonts w:ascii="Arial" w:hAnsi="Arial" w:cs="Arial"/>
          <w:sz w:val="20"/>
          <w:szCs w:val="20"/>
        </w:rPr>
        <w:t xml:space="preserve">Purchase Option Transferee delivers to </w:t>
      </w:r>
      <w:r w:rsidRPr="00C270DD">
        <w:rPr>
          <w:rFonts w:ascii="Arial" w:hAnsi="Arial" w:cs="Arial"/>
          <w:sz w:val="20"/>
          <w:szCs w:val="20"/>
        </w:rPr>
        <w:t>Lender a certification that each of the following is true:</w:t>
      </w:r>
    </w:p>
    <w:p w:rsidR="00EE4162" w:rsidRPr="00C270DD" w:rsidRDefault="00EE4162" w:rsidP="00EE4162">
      <w:pPr>
        <w:pStyle w:val="BodyTextIndent"/>
        <w:tabs>
          <w:tab w:val="left" w:pos="4320"/>
        </w:tabs>
        <w:spacing w:after="240"/>
        <w:ind w:left="3600" w:hanging="720"/>
        <w:rPr>
          <w:rFonts w:ascii="Arial" w:hAnsi="Arial" w:cs="Arial"/>
          <w:sz w:val="20"/>
          <w:szCs w:val="20"/>
        </w:rPr>
      </w:pPr>
      <w:r w:rsidRPr="00C270DD">
        <w:rPr>
          <w:rFonts w:ascii="Arial" w:hAnsi="Arial" w:cs="Arial"/>
          <w:sz w:val="20"/>
          <w:szCs w:val="20"/>
        </w:rPr>
        <w:t>(1)</w:t>
      </w:r>
      <w:r w:rsidRPr="00C270DD">
        <w:rPr>
          <w:rFonts w:ascii="Arial" w:hAnsi="Arial" w:cs="Arial"/>
          <w:sz w:val="20"/>
          <w:szCs w:val="20"/>
        </w:rPr>
        <w:tab/>
      </w:r>
      <w:r>
        <w:rPr>
          <w:rFonts w:ascii="Arial" w:hAnsi="Arial" w:cs="Arial"/>
          <w:sz w:val="20"/>
          <w:szCs w:val="20"/>
        </w:rPr>
        <w:t xml:space="preserve">Purchase Option Transferee </w:t>
      </w:r>
      <w:r w:rsidRPr="00C270DD">
        <w:rPr>
          <w:rFonts w:ascii="Arial" w:hAnsi="Arial" w:cs="Arial"/>
          <w:sz w:val="20"/>
          <w:szCs w:val="20"/>
        </w:rPr>
        <w:t>has not been convicted of fraud or a crime involving moral turpitude (or if an entity, then no principal of such entity has been convicted of fraud or a crime involving moral turpitude).</w:t>
      </w:r>
    </w:p>
    <w:p w:rsidR="00EE4162" w:rsidRDefault="00EE4162" w:rsidP="008A63CB">
      <w:pPr>
        <w:pStyle w:val="BodyTextIndent"/>
        <w:tabs>
          <w:tab w:val="left" w:pos="4320"/>
        </w:tabs>
        <w:spacing w:after="240"/>
        <w:ind w:left="3600" w:hanging="720"/>
        <w:rPr>
          <w:rFonts w:ascii="Arial" w:hAnsi="Arial" w:cs="Arial"/>
          <w:sz w:val="20"/>
          <w:szCs w:val="20"/>
        </w:rPr>
      </w:pPr>
      <w:r w:rsidRPr="00C270DD">
        <w:rPr>
          <w:rFonts w:ascii="Arial" w:hAnsi="Arial" w:cs="Arial"/>
          <w:sz w:val="20"/>
          <w:szCs w:val="20"/>
        </w:rPr>
        <w:t>(2)</w:t>
      </w:r>
      <w:r w:rsidRPr="00C270DD">
        <w:rPr>
          <w:rFonts w:ascii="Arial" w:hAnsi="Arial" w:cs="Arial"/>
          <w:sz w:val="20"/>
          <w:szCs w:val="20"/>
        </w:rPr>
        <w:tab/>
      </w:r>
      <w:r>
        <w:rPr>
          <w:rFonts w:ascii="Arial" w:hAnsi="Arial" w:cs="Arial"/>
          <w:sz w:val="20"/>
          <w:szCs w:val="20"/>
        </w:rPr>
        <w:t xml:space="preserve">Purchase Option Transferee </w:t>
      </w:r>
      <w:r w:rsidRPr="00C270DD">
        <w:rPr>
          <w:rFonts w:ascii="Arial" w:hAnsi="Arial" w:cs="Arial"/>
          <w:sz w:val="20"/>
          <w:szCs w:val="20"/>
        </w:rPr>
        <w:t>has not been involved in a bankruptcy or reorganization within the ten years preceding the date of the Purchase Option Transfer.</w:t>
      </w:r>
    </w:p>
    <w:p w:rsidR="00EE4162" w:rsidRDefault="00EE4162" w:rsidP="008A63CB">
      <w:pPr>
        <w:pStyle w:val="BodyTextIndent"/>
        <w:tabs>
          <w:tab w:val="left" w:pos="4320"/>
        </w:tabs>
        <w:spacing w:after="240"/>
        <w:ind w:left="3600" w:hanging="720"/>
        <w:rPr>
          <w:rFonts w:ascii="Arial" w:hAnsi="Arial" w:cs="Arial"/>
          <w:sz w:val="20"/>
          <w:szCs w:val="20"/>
        </w:rPr>
      </w:pPr>
      <w:r>
        <w:rPr>
          <w:rFonts w:ascii="Arial" w:hAnsi="Arial" w:cs="Arial"/>
          <w:sz w:val="20"/>
          <w:szCs w:val="20"/>
        </w:rPr>
        <w:t>(3)</w:t>
      </w:r>
      <w:r>
        <w:rPr>
          <w:rFonts w:ascii="Arial" w:hAnsi="Arial" w:cs="Arial"/>
          <w:sz w:val="20"/>
          <w:szCs w:val="20"/>
        </w:rPr>
        <w:tab/>
        <w:t>Purchase Option Transferee is not on any Prohibited Parties List.</w:t>
      </w:r>
    </w:p>
    <w:p w:rsidR="004B424C" w:rsidRDefault="005B5ED2" w:rsidP="005B5ED2">
      <w:pPr>
        <w:ind w:left="720"/>
        <w:rPr>
          <w:rFonts w:ascii="Arial" w:hAnsi="Arial" w:cs="Arial"/>
          <w:sz w:val="20"/>
          <w:szCs w:val="20"/>
        </w:rPr>
      </w:pPr>
      <w:r>
        <w:rPr>
          <w:rFonts w:ascii="Arial" w:hAnsi="Arial" w:cs="Arial"/>
          <w:sz w:val="20"/>
          <w:szCs w:val="20"/>
        </w:rPr>
        <w:t>F.</w:t>
      </w:r>
      <w:r>
        <w:rPr>
          <w:rFonts w:ascii="Arial" w:hAnsi="Arial" w:cs="Arial"/>
          <w:sz w:val="20"/>
          <w:szCs w:val="20"/>
        </w:rPr>
        <w:tab/>
        <w:t>Section 10.2</w:t>
      </w:r>
      <w:r w:rsidR="00D80E13">
        <w:rPr>
          <w:rFonts w:ascii="Arial" w:hAnsi="Arial" w:cs="Arial"/>
          <w:sz w:val="20"/>
          <w:szCs w:val="20"/>
        </w:rPr>
        <w:t>6</w:t>
      </w:r>
      <w:r>
        <w:rPr>
          <w:rFonts w:ascii="Arial" w:hAnsi="Arial" w:cs="Arial"/>
          <w:sz w:val="20"/>
          <w:szCs w:val="20"/>
        </w:rPr>
        <w:t xml:space="preserve"> is </w:t>
      </w:r>
      <w:r w:rsidR="00A233AE">
        <w:rPr>
          <w:rFonts w:ascii="Arial" w:hAnsi="Arial" w:cs="Arial"/>
          <w:sz w:val="20"/>
          <w:szCs w:val="20"/>
        </w:rPr>
        <w:t>deleted and replaced with the following</w:t>
      </w:r>
      <w:r>
        <w:rPr>
          <w:rFonts w:ascii="Arial" w:hAnsi="Arial" w:cs="Arial"/>
          <w:sz w:val="20"/>
          <w:szCs w:val="20"/>
        </w:rPr>
        <w:t>:</w:t>
      </w:r>
    </w:p>
    <w:p w:rsidR="00DB7E82" w:rsidRPr="005B5ED2" w:rsidRDefault="005B5ED2" w:rsidP="005B5ED2">
      <w:pPr>
        <w:pStyle w:val="Heading2"/>
        <w:numPr>
          <w:ilvl w:val="0"/>
          <w:numId w:val="0"/>
        </w:numPr>
        <w:ind w:left="2430" w:hanging="990"/>
        <w:rPr>
          <w:rFonts w:ascii="Arial" w:hAnsi="Arial" w:cs="Arial"/>
          <w:b w:val="0"/>
          <w:sz w:val="20"/>
          <w:szCs w:val="20"/>
          <w:highlight w:val="yellow"/>
        </w:rPr>
      </w:pPr>
      <w:r w:rsidRPr="005B5ED2">
        <w:rPr>
          <w:rFonts w:ascii="Arial" w:hAnsi="Arial" w:cs="Arial"/>
          <w:sz w:val="20"/>
          <w:szCs w:val="20"/>
        </w:rPr>
        <w:t>10.2</w:t>
      </w:r>
      <w:r w:rsidR="00D80E13">
        <w:rPr>
          <w:rFonts w:ascii="Arial" w:hAnsi="Arial" w:cs="Arial"/>
          <w:sz w:val="20"/>
          <w:szCs w:val="20"/>
        </w:rPr>
        <w:t>6</w:t>
      </w:r>
      <w:r>
        <w:rPr>
          <w:rFonts w:ascii="Arial" w:hAnsi="Arial" w:cs="Arial"/>
          <w:sz w:val="20"/>
          <w:szCs w:val="20"/>
        </w:rPr>
        <w:tab/>
      </w:r>
      <w:r w:rsidR="004B424C" w:rsidRPr="005B5ED2">
        <w:rPr>
          <w:rFonts w:ascii="Arial" w:hAnsi="Arial" w:cs="Arial"/>
          <w:sz w:val="20"/>
          <w:szCs w:val="20"/>
        </w:rPr>
        <w:t xml:space="preserve">Tax Credit Regulatory Agreement. </w:t>
      </w:r>
      <w:r w:rsidR="004B424C" w:rsidRPr="005B5ED2">
        <w:rPr>
          <w:rFonts w:ascii="Arial" w:hAnsi="Arial" w:cs="Arial"/>
          <w:b w:val="0"/>
          <w:sz w:val="20"/>
          <w:szCs w:val="20"/>
        </w:rPr>
        <w:t>Lender agrees that if the Tax Credit Regulatory Agreement, by its terms, terminates upon foreclosure under the Security Instrument or upon a transfer of the Mortgaged Property by instrument in lieu of foreclosure, in accordance with United States Tax Code Section 42(h)(6)(E), the lien of the Security Instrument and this Loan Agreement will be subordinate to the Tax Credit Regulatory Agreement, regardless of the order of recording of the Security Instrument and the Tax Credit Regulatory Agreement; provided, however, Lender reserves the right not to subordinate the lien of the Security Instrument to the Tax Credit Regulatory Agreement if remedies reserved to the Tax Credit Agency under the Tax Credit Regulatory Agreement</w:t>
      </w:r>
      <w:r w:rsidR="003B5C31" w:rsidRPr="005B5ED2">
        <w:rPr>
          <w:rFonts w:ascii="Arial" w:hAnsi="Arial" w:cs="Arial"/>
          <w:b w:val="0"/>
          <w:sz w:val="20"/>
          <w:szCs w:val="20"/>
        </w:rPr>
        <w:t xml:space="preserve"> exceed those of specific performance or injunctive relief. In such event, Borrower acknowledges that Lender may require the Tax </w:t>
      </w:r>
      <w:r w:rsidR="00C1014C" w:rsidRPr="005B5ED2">
        <w:rPr>
          <w:rFonts w:ascii="Arial" w:hAnsi="Arial" w:cs="Arial"/>
          <w:b w:val="0"/>
          <w:sz w:val="20"/>
          <w:szCs w:val="20"/>
        </w:rPr>
        <w:t>Credit Agency to enter into a</w:t>
      </w:r>
      <w:r w:rsidR="003B5C31" w:rsidRPr="005B5ED2">
        <w:rPr>
          <w:rFonts w:ascii="Arial" w:hAnsi="Arial" w:cs="Arial"/>
          <w:b w:val="0"/>
          <w:sz w:val="20"/>
          <w:szCs w:val="20"/>
        </w:rPr>
        <w:t xml:space="preserve"> subordination agreement satisfactory to Lender.</w:t>
      </w:r>
    </w:p>
    <w:p w:rsidR="00DB7E82" w:rsidRPr="005B5ED2" w:rsidRDefault="005B5ED2" w:rsidP="00E9286D">
      <w:pPr>
        <w:ind w:left="720"/>
        <w:rPr>
          <w:rFonts w:ascii="Arial" w:hAnsi="Arial" w:cs="Arial"/>
          <w:sz w:val="20"/>
          <w:szCs w:val="20"/>
        </w:rPr>
      </w:pPr>
      <w:r>
        <w:rPr>
          <w:rFonts w:ascii="Arial" w:hAnsi="Arial" w:cs="Arial"/>
          <w:sz w:val="20"/>
          <w:szCs w:val="20"/>
        </w:rPr>
        <w:t>G.</w:t>
      </w:r>
      <w:r>
        <w:rPr>
          <w:rFonts w:ascii="Arial" w:hAnsi="Arial" w:cs="Arial"/>
          <w:sz w:val="20"/>
          <w:szCs w:val="20"/>
        </w:rPr>
        <w:tab/>
      </w:r>
      <w:r w:rsidR="00086B27" w:rsidRPr="005B5ED2">
        <w:rPr>
          <w:rFonts w:ascii="Arial" w:hAnsi="Arial" w:cs="Arial"/>
          <w:sz w:val="20"/>
          <w:szCs w:val="20"/>
        </w:rPr>
        <w:t>The following new definitions are added to Article XI:</w:t>
      </w:r>
    </w:p>
    <w:p w:rsidR="00DB7E82" w:rsidRDefault="00DB7E82" w:rsidP="00DB7E82">
      <w:pPr>
        <w:spacing w:after="0"/>
        <w:ind w:left="720"/>
        <w:rPr>
          <w:rFonts w:ascii="Arial" w:hAnsi="Arial" w:cs="Arial"/>
          <w:bCs/>
          <w:sz w:val="20"/>
          <w:szCs w:val="20"/>
        </w:rPr>
      </w:pPr>
      <w:r w:rsidRPr="00DB7E82">
        <w:rPr>
          <w:rFonts w:ascii="Arial" w:hAnsi="Arial" w:cs="Arial"/>
          <w:b/>
          <w:sz w:val="20"/>
          <w:szCs w:val="20"/>
        </w:rPr>
        <w:t>“Borrower GP/Manager”</w:t>
      </w:r>
      <w:r w:rsidRPr="00DB7E82">
        <w:rPr>
          <w:rFonts w:ascii="Arial" w:hAnsi="Arial" w:cs="Arial"/>
          <w:bCs/>
          <w:sz w:val="20"/>
          <w:szCs w:val="20"/>
        </w:rPr>
        <w:t xml:space="preserve"> means individually and collectively the managing general partner(s), managing member(s) or controlling shareholder(s) of Borrower, but does not include the non-profit managing general partner of Borrower </w:t>
      </w:r>
      <w:r w:rsidR="000D568F">
        <w:rPr>
          <w:rFonts w:ascii="Arial" w:hAnsi="Arial" w:cs="Arial"/>
          <w:bCs/>
          <w:sz w:val="20"/>
          <w:szCs w:val="20"/>
        </w:rPr>
        <w:t xml:space="preserve">if </w:t>
      </w:r>
      <w:r w:rsidRPr="00DB7E82">
        <w:rPr>
          <w:rFonts w:ascii="Arial" w:hAnsi="Arial" w:cs="Arial"/>
          <w:bCs/>
          <w:sz w:val="20"/>
          <w:szCs w:val="20"/>
        </w:rPr>
        <w:t>required to meet the requirements of the California Revenue and Taxation Code for the welfare exemption.</w:t>
      </w:r>
    </w:p>
    <w:p w:rsidR="00B9214C" w:rsidRDefault="00B9214C" w:rsidP="00DB7E82">
      <w:pPr>
        <w:spacing w:after="0"/>
        <w:ind w:left="720"/>
        <w:rPr>
          <w:rFonts w:ascii="Arial" w:hAnsi="Arial" w:cs="Arial"/>
          <w:b/>
          <w:sz w:val="20"/>
          <w:szCs w:val="20"/>
        </w:rPr>
      </w:pPr>
    </w:p>
    <w:p w:rsidR="00B9214C" w:rsidRPr="00B9214C" w:rsidRDefault="00B9214C" w:rsidP="00B9214C">
      <w:pPr>
        <w:spacing w:after="0"/>
        <w:ind w:left="720"/>
        <w:jc w:val="left"/>
        <w:rPr>
          <w:rFonts w:ascii="Arial" w:hAnsi="Arial" w:cs="Arial"/>
          <w:sz w:val="20"/>
          <w:szCs w:val="20"/>
        </w:rPr>
      </w:pPr>
      <w:r w:rsidRPr="00B9214C">
        <w:rPr>
          <w:rFonts w:ascii="Arial" w:hAnsi="Arial" w:cs="Arial"/>
          <w:sz w:val="20"/>
          <w:szCs w:val="20"/>
        </w:rPr>
        <w:t>“</w:t>
      </w:r>
      <w:r w:rsidRPr="00B9214C">
        <w:rPr>
          <w:rFonts w:ascii="Arial" w:hAnsi="Arial" w:cs="Arial"/>
          <w:b/>
          <w:bCs/>
          <w:sz w:val="20"/>
          <w:szCs w:val="20"/>
        </w:rPr>
        <w:t>Control</w:t>
      </w:r>
      <w:r w:rsidRPr="00B9214C">
        <w:rPr>
          <w:rFonts w:ascii="Arial" w:hAnsi="Arial" w:cs="Arial"/>
          <w:sz w:val="20"/>
          <w:szCs w:val="20"/>
        </w:rPr>
        <w:t xml:space="preserve">” means to possess, directly or indirectly, the power to direct or cause the direction of the management or policies of a Person, whether through the ownership of voting securities, by contract or otherwise, including the power to elect </w:t>
      </w:r>
      <w:proofErr w:type="gramStart"/>
      <w:r w:rsidRPr="00B9214C">
        <w:rPr>
          <w:rFonts w:ascii="Arial" w:hAnsi="Arial" w:cs="Arial"/>
          <w:sz w:val="20"/>
          <w:szCs w:val="20"/>
        </w:rPr>
        <w:t>a majority of</w:t>
      </w:r>
      <w:proofErr w:type="gramEnd"/>
      <w:r w:rsidRPr="00B9214C">
        <w:rPr>
          <w:rFonts w:ascii="Arial" w:hAnsi="Arial" w:cs="Arial"/>
          <w:sz w:val="20"/>
          <w:szCs w:val="20"/>
        </w:rPr>
        <w:t xml:space="preserve"> the directors or trustees of a corporation or trust, as the case may be.</w:t>
      </w:r>
    </w:p>
    <w:p w:rsidR="00B9214C" w:rsidRPr="00DB7E82" w:rsidRDefault="00B9214C" w:rsidP="00DB7E82">
      <w:pPr>
        <w:spacing w:after="0"/>
        <w:ind w:left="720"/>
        <w:rPr>
          <w:rFonts w:ascii="Arial" w:hAnsi="Arial" w:cs="Arial"/>
          <w:b/>
          <w:sz w:val="20"/>
          <w:szCs w:val="20"/>
        </w:rPr>
      </w:pPr>
    </w:p>
    <w:p w:rsidR="00DB7E82" w:rsidRPr="00DB7E82" w:rsidRDefault="00DB7E82" w:rsidP="00DB7E82">
      <w:pPr>
        <w:spacing w:after="0"/>
        <w:rPr>
          <w:rFonts w:ascii="Arial" w:hAnsi="Arial" w:cs="Arial"/>
          <w:b/>
          <w:sz w:val="20"/>
          <w:szCs w:val="20"/>
        </w:rPr>
      </w:pPr>
    </w:p>
    <w:p w:rsidR="00DB7E82" w:rsidRPr="00DB7E82" w:rsidRDefault="00DB7E82" w:rsidP="00DB7E82">
      <w:pPr>
        <w:spacing w:after="0"/>
        <w:ind w:left="720"/>
        <w:rPr>
          <w:rFonts w:ascii="Arial" w:hAnsi="Arial" w:cs="Arial"/>
          <w:sz w:val="20"/>
          <w:szCs w:val="20"/>
        </w:rPr>
      </w:pPr>
    </w:p>
    <w:p w:rsidR="00DB7E82" w:rsidRPr="00DB7E82" w:rsidRDefault="00DB7E82" w:rsidP="00DB7E82">
      <w:pPr>
        <w:spacing w:after="0"/>
        <w:ind w:left="720"/>
        <w:rPr>
          <w:rFonts w:ascii="Arial" w:hAnsi="Arial" w:cs="Arial"/>
          <w:sz w:val="20"/>
          <w:szCs w:val="20"/>
        </w:rPr>
      </w:pPr>
    </w:p>
    <w:p w:rsidR="00DB7E82" w:rsidRPr="00DB7E82" w:rsidRDefault="00DB7E82" w:rsidP="00DB7E82">
      <w:pPr>
        <w:spacing w:after="0"/>
        <w:ind w:left="720"/>
        <w:rPr>
          <w:rFonts w:ascii="Arial" w:hAnsi="Arial" w:cs="Arial"/>
          <w:b/>
          <w:sz w:val="20"/>
          <w:szCs w:val="20"/>
        </w:rPr>
      </w:pPr>
    </w:p>
    <w:p w:rsidR="00DB7E82" w:rsidRPr="00DB7E82" w:rsidRDefault="00DB7E82" w:rsidP="00DB7E82">
      <w:pPr>
        <w:spacing w:after="0"/>
        <w:ind w:left="720"/>
        <w:rPr>
          <w:rFonts w:ascii="Arial" w:hAnsi="Arial" w:cs="Arial"/>
          <w:b/>
          <w:sz w:val="20"/>
          <w:szCs w:val="20"/>
        </w:rPr>
      </w:pPr>
    </w:p>
    <w:p w:rsidR="00DB7E82" w:rsidRPr="00DB7E82" w:rsidRDefault="00DB7E82" w:rsidP="00DB7E82">
      <w:pPr>
        <w:pStyle w:val="ListParagraph"/>
        <w:ind w:left="1080"/>
        <w:rPr>
          <w:rFonts w:ascii="Arial" w:hAnsi="Arial" w:cs="Arial"/>
          <w:sz w:val="20"/>
          <w:szCs w:val="20"/>
        </w:rPr>
      </w:pPr>
    </w:p>
    <w:sectPr w:rsidR="00DB7E82" w:rsidRPr="00DB7E82" w:rsidSect="000458D3">
      <w:headerReference w:type="default" r:id="rId9"/>
      <w:footerReference w:type="defaul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842" w:rsidRDefault="00996842" w:rsidP="00996842">
      <w:pPr>
        <w:spacing w:after="0"/>
      </w:pPr>
      <w:r>
        <w:separator/>
      </w:r>
    </w:p>
  </w:endnote>
  <w:endnote w:type="continuationSeparator" w:id="0">
    <w:p w:rsidR="00996842" w:rsidRDefault="00996842" w:rsidP="00996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8D3" w:rsidRDefault="000458D3" w:rsidP="000458D3">
    <w:pPr>
      <w:tabs>
        <w:tab w:val="center" w:pos="4320"/>
        <w:tab w:val="right" w:pos="8640"/>
      </w:tabs>
      <w:overflowPunct w:val="0"/>
      <w:autoSpaceDE w:val="0"/>
      <w:autoSpaceDN w:val="0"/>
      <w:adjustRightInd w:val="0"/>
      <w:spacing w:after="0"/>
      <w:jc w:val="left"/>
      <w:textAlignment w:val="baseline"/>
      <w:rPr>
        <w:rFonts w:ascii="Arial" w:hAnsi="Arial" w:cs="Arial"/>
        <w:b/>
        <w:sz w:val="16"/>
        <w:szCs w:val="16"/>
      </w:rPr>
    </w:pPr>
  </w:p>
  <w:p w:rsidR="000458D3" w:rsidRDefault="000458D3" w:rsidP="000458D3">
    <w:pPr>
      <w:tabs>
        <w:tab w:val="center" w:pos="4320"/>
        <w:tab w:val="right" w:pos="8640"/>
      </w:tabs>
      <w:overflowPunct w:val="0"/>
      <w:autoSpaceDE w:val="0"/>
      <w:autoSpaceDN w:val="0"/>
      <w:adjustRightInd w:val="0"/>
      <w:spacing w:after="0"/>
      <w:jc w:val="left"/>
      <w:textAlignment w:val="baseline"/>
      <w:rPr>
        <w:rFonts w:ascii="Arial" w:hAnsi="Arial" w:cs="Arial"/>
        <w:b/>
        <w:sz w:val="16"/>
        <w:szCs w:val="16"/>
      </w:rPr>
    </w:pPr>
  </w:p>
  <w:p w:rsidR="000458D3" w:rsidRPr="000458D3" w:rsidRDefault="005E0348" w:rsidP="000458D3">
    <w:pPr>
      <w:tabs>
        <w:tab w:val="center" w:pos="4320"/>
        <w:tab w:val="right" w:pos="8640"/>
      </w:tabs>
      <w:overflowPunct w:val="0"/>
      <w:autoSpaceDE w:val="0"/>
      <w:autoSpaceDN w:val="0"/>
      <w:adjustRightInd w:val="0"/>
      <w:spacing w:after="0"/>
      <w:jc w:val="left"/>
      <w:textAlignment w:val="baseline"/>
      <w:rPr>
        <w:rFonts w:ascii="Arial" w:hAnsi="Arial" w:cs="Arial"/>
        <w:b/>
        <w:sz w:val="16"/>
        <w:szCs w:val="16"/>
      </w:rPr>
    </w:pPr>
    <w:r>
      <w:rPr>
        <w:rFonts w:ascii="Arial" w:hAnsi="Arial" w:cs="Arial"/>
        <w:b/>
        <w:sz w:val="16"/>
        <w:szCs w:val="16"/>
      </w:rPr>
      <w:t>Loan Agreement Rider – TAH Express</w:t>
    </w:r>
    <w:r w:rsidR="000458D3" w:rsidRPr="000458D3">
      <w:rPr>
        <w:rFonts w:ascii="Arial" w:hAnsi="Arial" w:cs="Arial"/>
        <w:b/>
        <w:sz w:val="16"/>
        <w:szCs w:val="16"/>
      </w:rPr>
      <w:t xml:space="preserve"> </w:t>
    </w:r>
  </w:p>
  <w:p w:rsidR="000458D3" w:rsidRPr="000458D3" w:rsidRDefault="005E0348" w:rsidP="000458D3">
    <w:pPr>
      <w:tabs>
        <w:tab w:val="center" w:pos="4320"/>
        <w:tab w:val="right" w:pos="8640"/>
      </w:tabs>
      <w:overflowPunct w:val="0"/>
      <w:autoSpaceDE w:val="0"/>
      <w:autoSpaceDN w:val="0"/>
      <w:adjustRightInd w:val="0"/>
      <w:spacing w:after="0"/>
      <w:jc w:val="left"/>
      <w:textAlignment w:val="baseline"/>
      <w:rPr>
        <w:rFonts w:ascii="Arial" w:hAnsi="Arial" w:cs="Arial"/>
        <w:b/>
        <w:sz w:val="16"/>
        <w:szCs w:val="16"/>
      </w:rPr>
    </w:pPr>
    <w:r>
      <w:rPr>
        <w:rFonts w:ascii="Arial" w:hAnsi="Arial" w:cs="Arial"/>
        <w:b/>
        <w:sz w:val="16"/>
        <w:szCs w:val="16"/>
      </w:rPr>
      <w:t>Tax Credit Properties</w:t>
    </w:r>
    <w:r w:rsidR="000458D3" w:rsidRPr="000458D3">
      <w:rPr>
        <w:rFonts w:ascii="Arial" w:hAnsi="Arial" w:cs="Arial"/>
        <w:b/>
        <w:sz w:val="16"/>
        <w:szCs w:val="16"/>
      </w:rPr>
      <w:tab/>
    </w:r>
    <w:r w:rsidR="000458D3" w:rsidRPr="000458D3">
      <w:rPr>
        <w:rFonts w:ascii="Arial" w:hAnsi="Arial" w:cs="Arial"/>
        <w:b/>
        <w:sz w:val="16"/>
        <w:szCs w:val="16"/>
      </w:rPr>
      <w:tab/>
    </w:r>
    <w:r w:rsidR="000458D3" w:rsidRPr="000458D3">
      <w:rPr>
        <w:rFonts w:ascii="Arial" w:hAnsi="Arial" w:cs="Arial"/>
        <w:b/>
        <w:sz w:val="16"/>
        <w:szCs w:val="16"/>
      </w:rPr>
      <w:tab/>
      <w:t xml:space="preserve">Page </w:t>
    </w:r>
    <w:r w:rsidR="000458D3" w:rsidRPr="000458D3">
      <w:rPr>
        <w:rFonts w:ascii="Arial" w:hAnsi="Arial" w:cs="Arial"/>
        <w:b/>
        <w:sz w:val="16"/>
        <w:szCs w:val="16"/>
      </w:rPr>
      <w:fldChar w:fldCharType="begin"/>
    </w:r>
    <w:r w:rsidR="000458D3" w:rsidRPr="000458D3">
      <w:rPr>
        <w:rFonts w:ascii="Arial" w:hAnsi="Arial" w:cs="Arial"/>
        <w:b/>
        <w:sz w:val="16"/>
        <w:szCs w:val="16"/>
      </w:rPr>
      <w:instrText xml:space="preserve"> PAGE </w:instrText>
    </w:r>
    <w:r w:rsidR="000458D3" w:rsidRPr="000458D3">
      <w:rPr>
        <w:rFonts w:ascii="Arial" w:hAnsi="Arial" w:cs="Arial"/>
        <w:b/>
        <w:sz w:val="16"/>
        <w:szCs w:val="16"/>
      </w:rPr>
      <w:fldChar w:fldCharType="separate"/>
    </w:r>
    <w:r w:rsidR="004E537C">
      <w:rPr>
        <w:rFonts w:ascii="Arial" w:hAnsi="Arial" w:cs="Arial"/>
        <w:b/>
        <w:noProof/>
        <w:sz w:val="16"/>
        <w:szCs w:val="16"/>
      </w:rPr>
      <w:t>3</w:t>
    </w:r>
    <w:r w:rsidR="000458D3" w:rsidRPr="000458D3">
      <w:rPr>
        <w:rFonts w:ascii="Arial" w:hAnsi="Arial" w:cs="Arial"/>
        <w:b/>
        <w:sz w:val="16"/>
        <w:szCs w:val="16"/>
      </w:rPr>
      <w:fldChar w:fldCharType="end"/>
    </w:r>
  </w:p>
  <w:p w:rsidR="000458D3" w:rsidRPr="000458D3" w:rsidRDefault="000458D3" w:rsidP="000458D3">
    <w:pPr>
      <w:tabs>
        <w:tab w:val="center" w:pos="4320"/>
        <w:tab w:val="right" w:pos="8640"/>
      </w:tabs>
      <w:overflowPunct w:val="0"/>
      <w:autoSpaceDE w:val="0"/>
      <w:autoSpaceDN w:val="0"/>
      <w:adjustRightInd w:val="0"/>
      <w:spacing w:after="0"/>
      <w:jc w:val="left"/>
      <w:textAlignment w:val="baseline"/>
      <w:rPr>
        <w:b/>
        <w:sz w:val="20"/>
        <w:szCs w:val="20"/>
      </w:rPr>
    </w:pPr>
  </w:p>
  <w:p w:rsidR="000458D3" w:rsidRDefault="00045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8D3" w:rsidRDefault="005E0348" w:rsidP="005E0348">
    <w:pPr>
      <w:tabs>
        <w:tab w:val="center" w:pos="4320"/>
        <w:tab w:val="right" w:pos="8640"/>
      </w:tabs>
      <w:overflowPunct w:val="0"/>
      <w:autoSpaceDE w:val="0"/>
      <w:autoSpaceDN w:val="0"/>
      <w:adjustRightInd w:val="0"/>
      <w:spacing w:after="0"/>
      <w:jc w:val="left"/>
      <w:textAlignment w:val="baseline"/>
      <w:rPr>
        <w:rFonts w:ascii="Arial" w:hAnsi="Arial" w:cs="Arial"/>
        <w:b/>
        <w:sz w:val="16"/>
        <w:szCs w:val="16"/>
      </w:rPr>
    </w:pPr>
    <w:r>
      <w:rPr>
        <w:rFonts w:ascii="Arial" w:hAnsi="Arial" w:cs="Arial"/>
        <w:b/>
        <w:sz w:val="16"/>
        <w:szCs w:val="16"/>
      </w:rPr>
      <w:t>Loan Agreement Rider – TAH Express</w:t>
    </w:r>
    <w:r w:rsidR="000458D3" w:rsidRPr="000458D3">
      <w:rPr>
        <w:rFonts w:ascii="Arial" w:hAnsi="Arial" w:cs="Arial"/>
        <w:b/>
        <w:sz w:val="16"/>
        <w:szCs w:val="16"/>
      </w:rPr>
      <w:t xml:space="preserve"> </w:t>
    </w:r>
  </w:p>
  <w:p w:rsidR="005E0348" w:rsidRPr="005E0348" w:rsidRDefault="005E0348" w:rsidP="005E0348">
    <w:pPr>
      <w:tabs>
        <w:tab w:val="center" w:pos="4320"/>
        <w:tab w:val="right" w:pos="8640"/>
      </w:tabs>
      <w:overflowPunct w:val="0"/>
      <w:autoSpaceDE w:val="0"/>
      <w:autoSpaceDN w:val="0"/>
      <w:adjustRightInd w:val="0"/>
      <w:spacing w:after="0"/>
      <w:jc w:val="left"/>
      <w:textAlignment w:val="baseline"/>
      <w:rPr>
        <w:rFonts w:ascii="Arial" w:hAnsi="Arial" w:cs="Arial"/>
        <w:b/>
        <w:sz w:val="16"/>
        <w:szCs w:val="16"/>
      </w:rPr>
    </w:pPr>
    <w:r>
      <w:rPr>
        <w:rFonts w:ascii="Arial" w:hAnsi="Arial" w:cs="Arial"/>
        <w:b/>
        <w:sz w:val="16"/>
        <w:szCs w:val="16"/>
      </w:rPr>
      <w:t>Tax Credit Properties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842" w:rsidRDefault="00996842" w:rsidP="00996842">
      <w:pPr>
        <w:spacing w:after="0"/>
      </w:pPr>
      <w:r>
        <w:separator/>
      </w:r>
    </w:p>
  </w:footnote>
  <w:footnote w:type="continuationSeparator" w:id="0">
    <w:p w:rsidR="00996842" w:rsidRDefault="00996842" w:rsidP="009968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842" w:rsidRDefault="00996842">
    <w:pPr>
      <w:pStyle w:val="Header"/>
    </w:pPr>
  </w:p>
  <w:p w:rsidR="00996842" w:rsidRDefault="00996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327C"/>
    <w:multiLevelType w:val="hybridMultilevel"/>
    <w:tmpl w:val="E4E232DA"/>
    <w:lvl w:ilvl="0" w:tplc="510EF11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868AC"/>
    <w:multiLevelType w:val="hybridMultilevel"/>
    <w:tmpl w:val="20A6D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85734"/>
    <w:multiLevelType w:val="hybridMultilevel"/>
    <w:tmpl w:val="EB4410DC"/>
    <w:lvl w:ilvl="0" w:tplc="6EF4161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FA4C18"/>
    <w:multiLevelType w:val="hybridMultilevel"/>
    <w:tmpl w:val="A3929C8A"/>
    <w:lvl w:ilvl="0" w:tplc="F056B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317EA8"/>
    <w:multiLevelType w:val="hybridMultilevel"/>
    <w:tmpl w:val="1DF6B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17A9F"/>
    <w:multiLevelType w:val="multilevel"/>
    <w:tmpl w:val="1FC8A1D0"/>
    <w:name w:val="(Unnamed Numbering Scheme)"/>
    <w:lvl w:ilvl="0">
      <w:start w:val="1"/>
      <w:numFmt w:val="upperRoman"/>
      <w:pStyle w:val="Heading1"/>
      <w:lvlText w:val="Article %1"/>
      <w:lvlJc w:val="left"/>
      <w:pPr>
        <w:tabs>
          <w:tab w:val="num" w:pos="2160"/>
        </w:tabs>
        <w:ind w:left="2160" w:hanging="2160"/>
      </w:pPr>
      <w:rPr>
        <w:b/>
        <w:i w:val="0"/>
        <w:caps/>
        <w:smallCaps w:val="0"/>
        <w:strike w:val="0"/>
        <w:dstrike w:val="0"/>
        <w:vanish w:val="0"/>
        <w:webHidden w:val="0"/>
        <w:color w:val="010000"/>
        <w:u w:val="none"/>
        <w:effect w:val="none"/>
        <w:specVanish w:val="0"/>
      </w:rPr>
    </w:lvl>
    <w:lvl w:ilvl="1">
      <w:start w:val="1"/>
      <w:numFmt w:val="decimalZero"/>
      <w:pStyle w:val="Heading2"/>
      <w:isLgl/>
      <w:lvlText w:val="%1.%2"/>
      <w:lvlJc w:val="left"/>
      <w:pPr>
        <w:tabs>
          <w:tab w:val="num" w:pos="0"/>
        </w:tabs>
        <w:ind w:left="720" w:hanging="720"/>
      </w:pPr>
      <w:rPr>
        <w:b/>
        <w:i w:val="0"/>
        <w:caps w:val="0"/>
        <w:strike w:val="0"/>
        <w:dstrike w:val="0"/>
        <w:vanish w:val="0"/>
        <w:webHidden w:val="0"/>
        <w:color w:val="010000"/>
        <w:u w:val="none"/>
        <w:effect w:val="none"/>
        <w:specVanish w:val="0"/>
      </w:rPr>
    </w:lvl>
    <w:lvl w:ilvl="2">
      <w:start w:val="1"/>
      <w:numFmt w:val="lowerLetter"/>
      <w:pStyle w:val="Heading3"/>
      <w:lvlText w:val="(%3)"/>
      <w:lvlJc w:val="left"/>
      <w:pPr>
        <w:tabs>
          <w:tab w:val="num" w:pos="540"/>
        </w:tabs>
        <w:ind w:left="1980" w:hanging="720"/>
      </w:pPr>
      <w:rPr>
        <w:rFonts w:ascii="Times New Roman" w:eastAsia="Times New Roman" w:hAnsi="Times New Roman" w:cs="Times New Roman" w:hint="default"/>
        <w:caps w:val="0"/>
        <w:strike w:val="0"/>
        <w:dstrike w:val="0"/>
        <w:vanish w:val="0"/>
        <w:webHidden w:val="0"/>
        <w:color w:val="010000"/>
        <w:u w:val="none"/>
        <w:effect w:val="none"/>
        <w:specVanish w:val="0"/>
      </w:rPr>
    </w:lvl>
    <w:lvl w:ilvl="3">
      <w:start w:val="1"/>
      <w:numFmt w:val="lowerRoman"/>
      <w:pStyle w:val="Heading4"/>
      <w:lvlText w:val="(%4)"/>
      <w:lvlJc w:val="left"/>
      <w:pPr>
        <w:tabs>
          <w:tab w:val="num" w:pos="0"/>
        </w:tabs>
        <w:ind w:left="2160" w:hanging="720"/>
      </w:pPr>
      <w:rPr>
        <w:rFonts w:ascii="Times New Roman" w:eastAsia="Times New Roman" w:hAnsi="Times New Roman" w:cs="Times New Roman" w:hint="default"/>
        <w:caps w:val="0"/>
        <w:strike w:val="0"/>
        <w:dstrike w:val="0"/>
        <w:vanish w:val="0"/>
        <w:webHidden w:val="0"/>
        <w:color w:val="010000"/>
        <w:u w:val="none"/>
        <w:effect w:val="none"/>
        <w:specVanish w:val="0"/>
      </w:rPr>
    </w:lvl>
    <w:lvl w:ilvl="4">
      <w:start w:val="1"/>
      <w:numFmt w:val="lowerRoman"/>
      <w:lvlText w:val="(%5)"/>
      <w:lvlJc w:val="left"/>
      <w:pPr>
        <w:tabs>
          <w:tab w:val="num" w:pos="0"/>
        </w:tabs>
        <w:ind w:left="2880" w:hanging="720"/>
      </w:pPr>
      <w:rPr>
        <w:rFonts w:ascii="Times New Roman" w:eastAsia="Times New Roman" w:hAnsi="Times New Roman" w:cs="Times New Roman" w:hint="default"/>
        <w:caps w:val="0"/>
        <w:strike w:val="0"/>
        <w:dstrike w:val="0"/>
        <w:vanish w:val="0"/>
        <w:webHidden w:val="0"/>
        <w:color w:val="010000"/>
        <w:u w:val="none"/>
        <w:effect w:val="none"/>
        <w:specVanish w:val="0"/>
      </w:rPr>
    </w:lvl>
    <w:lvl w:ilvl="5">
      <w:start w:val="1"/>
      <w:numFmt w:val="decimal"/>
      <w:pStyle w:val="Heading6"/>
      <w:lvlText w:val="(%6)"/>
      <w:lvlJc w:val="left"/>
      <w:pPr>
        <w:tabs>
          <w:tab w:val="num" w:pos="0"/>
        </w:tabs>
        <w:ind w:left="3600" w:hanging="720"/>
      </w:pPr>
      <w:rPr>
        <w:caps w:val="0"/>
        <w:strike w:val="0"/>
        <w:dstrike w:val="0"/>
        <w:vanish w:val="0"/>
        <w:webHidden w:val="0"/>
        <w:color w:val="010000"/>
        <w:u w:val="none"/>
        <w:effect w:val="none"/>
        <w:specVanish w:val="0"/>
      </w:rPr>
    </w:lvl>
    <w:lvl w:ilvl="6">
      <w:start w:val="1"/>
      <w:numFmt w:val="decimal"/>
      <w:pStyle w:val="Heading7"/>
      <w:lvlText w:val="%7."/>
      <w:lvlJc w:val="left"/>
      <w:pPr>
        <w:tabs>
          <w:tab w:val="num" w:pos="5040"/>
        </w:tabs>
        <w:ind w:left="3600" w:firstLine="720"/>
      </w:pPr>
      <w:rPr>
        <w:caps w:val="0"/>
        <w:strike w:val="0"/>
        <w:dstrike w:val="0"/>
        <w:vanish w:val="0"/>
        <w:webHidden w:val="0"/>
        <w:color w:val="010000"/>
        <w:u w:val="none"/>
        <w:effect w:val="none"/>
        <w:specVanish w:val="0"/>
      </w:rPr>
    </w:lvl>
    <w:lvl w:ilvl="7">
      <w:start w:val="1"/>
      <w:numFmt w:val="lowerRoman"/>
      <w:pStyle w:val="Heading8"/>
      <w:lvlText w:val="%8."/>
      <w:lvlJc w:val="left"/>
      <w:pPr>
        <w:tabs>
          <w:tab w:val="num" w:pos="5760"/>
        </w:tabs>
        <w:ind w:left="4320" w:firstLine="720"/>
      </w:pPr>
      <w:rPr>
        <w:caps w:val="0"/>
        <w:strike w:val="0"/>
        <w:dstrike w:val="0"/>
        <w:vanish w:val="0"/>
        <w:webHidden w:val="0"/>
        <w:color w:val="010000"/>
        <w:u w:val="none"/>
        <w:effect w:val="none"/>
        <w:specVanish w:val="0"/>
      </w:rPr>
    </w:lvl>
    <w:lvl w:ilvl="8">
      <w:start w:val="1"/>
      <w:numFmt w:val="decimal"/>
      <w:pStyle w:val="Heading9"/>
      <w:lvlText w:val="(%9)"/>
      <w:lvlJc w:val="left"/>
      <w:pPr>
        <w:tabs>
          <w:tab w:val="num" w:pos="6480"/>
        </w:tabs>
        <w:ind w:left="5040" w:firstLine="720"/>
      </w:pPr>
      <w:rPr>
        <w:caps w:val="0"/>
        <w:strike w:val="0"/>
        <w:dstrike w:val="0"/>
        <w:vanish w:val="0"/>
        <w:webHidden w:val="0"/>
        <w:color w:val="010000"/>
        <w:u w:val="none"/>
        <w:effect w:val="none"/>
        <w:specVanish w:val="0"/>
      </w:rPr>
    </w:lvl>
  </w:abstractNum>
  <w:abstractNum w:abstractNumId="6" w15:restartNumberingAfterBreak="0">
    <w:nsid w:val="4B2466AE"/>
    <w:multiLevelType w:val="hybridMultilevel"/>
    <w:tmpl w:val="23527822"/>
    <w:lvl w:ilvl="0" w:tplc="2DE28BA0">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55962FD0"/>
    <w:multiLevelType w:val="hybridMultilevel"/>
    <w:tmpl w:val="4202B4F2"/>
    <w:lvl w:ilvl="0" w:tplc="DA6AD5C4">
      <w:start w:val="1"/>
      <w:numFmt w:val="lowerRoman"/>
      <w:lvlText w:val="(%1)"/>
      <w:lvlJc w:val="left"/>
      <w:pPr>
        <w:ind w:left="1800" w:hanging="72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0900BA"/>
    <w:multiLevelType w:val="hybridMultilevel"/>
    <w:tmpl w:val="58367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834A6"/>
    <w:multiLevelType w:val="hybridMultilevel"/>
    <w:tmpl w:val="9C8C28CC"/>
    <w:lvl w:ilvl="0" w:tplc="89C6F7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FB4351"/>
    <w:multiLevelType w:val="hybridMultilevel"/>
    <w:tmpl w:val="74845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10"/>
  </w:num>
  <w:num w:numId="5">
    <w:abstractNumId w:val="6"/>
  </w:num>
  <w:num w:numId="6">
    <w:abstractNumId w:val="9"/>
  </w:num>
  <w:num w:numId="7">
    <w:abstractNumId w:val="3"/>
  </w:num>
  <w:num w:numId="8">
    <w:abstractNumId w:val="2"/>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lvlOverride w:ilvl="0">
      <w:startOverride w:val="10"/>
    </w:lvlOverride>
    <w:lvlOverride w:ilvl="1">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6B"/>
    <w:rsid w:val="00015FBA"/>
    <w:rsid w:val="000458D3"/>
    <w:rsid w:val="000529C3"/>
    <w:rsid w:val="00086B27"/>
    <w:rsid w:val="000D568F"/>
    <w:rsid w:val="000D5B46"/>
    <w:rsid w:val="00102038"/>
    <w:rsid w:val="00183D97"/>
    <w:rsid w:val="001B74FB"/>
    <w:rsid w:val="001C4FE7"/>
    <w:rsid w:val="001D5AB5"/>
    <w:rsid w:val="00200DEF"/>
    <w:rsid w:val="00224C4A"/>
    <w:rsid w:val="00234FF8"/>
    <w:rsid w:val="002767D8"/>
    <w:rsid w:val="002D1060"/>
    <w:rsid w:val="003278B9"/>
    <w:rsid w:val="00375909"/>
    <w:rsid w:val="003A37DD"/>
    <w:rsid w:val="003B5C31"/>
    <w:rsid w:val="003E1C6B"/>
    <w:rsid w:val="00433D7E"/>
    <w:rsid w:val="004A41DA"/>
    <w:rsid w:val="004B424C"/>
    <w:rsid w:val="004C7063"/>
    <w:rsid w:val="004E537C"/>
    <w:rsid w:val="004F08D6"/>
    <w:rsid w:val="004F38E9"/>
    <w:rsid w:val="00516763"/>
    <w:rsid w:val="005530B8"/>
    <w:rsid w:val="005B5ED2"/>
    <w:rsid w:val="005D44EE"/>
    <w:rsid w:val="005E0348"/>
    <w:rsid w:val="005F3382"/>
    <w:rsid w:val="005F4030"/>
    <w:rsid w:val="00634A7F"/>
    <w:rsid w:val="006518E5"/>
    <w:rsid w:val="006B2661"/>
    <w:rsid w:val="006E32C3"/>
    <w:rsid w:val="0074250B"/>
    <w:rsid w:val="00780F9A"/>
    <w:rsid w:val="007930FA"/>
    <w:rsid w:val="007D1424"/>
    <w:rsid w:val="00824A4B"/>
    <w:rsid w:val="00833773"/>
    <w:rsid w:val="0084416D"/>
    <w:rsid w:val="00865ECC"/>
    <w:rsid w:val="008A63CB"/>
    <w:rsid w:val="008B2938"/>
    <w:rsid w:val="008E33B6"/>
    <w:rsid w:val="008F6087"/>
    <w:rsid w:val="00996842"/>
    <w:rsid w:val="00A233AE"/>
    <w:rsid w:val="00A26D2D"/>
    <w:rsid w:val="00A34D9B"/>
    <w:rsid w:val="00A75812"/>
    <w:rsid w:val="00B10702"/>
    <w:rsid w:val="00B8638C"/>
    <w:rsid w:val="00B9214C"/>
    <w:rsid w:val="00BC2149"/>
    <w:rsid w:val="00C1014C"/>
    <w:rsid w:val="00C13324"/>
    <w:rsid w:val="00C15737"/>
    <w:rsid w:val="00C16128"/>
    <w:rsid w:val="00C20D9B"/>
    <w:rsid w:val="00C270DD"/>
    <w:rsid w:val="00CB743B"/>
    <w:rsid w:val="00CE2371"/>
    <w:rsid w:val="00D22563"/>
    <w:rsid w:val="00D3044E"/>
    <w:rsid w:val="00D64170"/>
    <w:rsid w:val="00D72093"/>
    <w:rsid w:val="00D80E13"/>
    <w:rsid w:val="00DB7E82"/>
    <w:rsid w:val="00DF221F"/>
    <w:rsid w:val="00E309D2"/>
    <w:rsid w:val="00E9286D"/>
    <w:rsid w:val="00EC1702"/>
    <w:rsid w:val="00ED3012"/>
    <w:rsid w:val="00EE4162"/>
    <w:rsid w:val="00F15356"/>
    <w:rsid w:val="00F252DF"/>
    <w:rsid w:val="00F54E3B"/>
    <w:rsid w:val="00FE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C6B"/>
    <w:pPr>
      <w:spacing w:after="24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70DD"/>
    <w:pPr>
      <w:keepNext/>
      <w:numPr>
        <w:numId w:val="10"/>
      </w:numPr>
      <w:jc w:val="left"/>
      <w:outlineLvl w:val="0"/>
    </w:pPr>
    <w:rPr>
      <w:b/>
      <w:bCs/>
      <w:caps/>
      <w:color w:val="000000"/>
      <w:szCs w:val="32"/>
    </w:rPr>
  </w:style>
  <w:style w:type="paragraph" w:styleId="Heading2">
    <w:name w:val="heading 2"/>
    <w:basedOn w:val="Normal"/>
    <w:next w:val="Normal"/>
    <w:link w:val="Heading2Char"/>
    <w:unhideWhenUsed/>
    <w:qFormat/>
    <w:rsid w:val="00C270DD"/>
    <w:pPr>
      <w:numPr>
        <w:ilvl w:val="1"/>
        <w:numId w:val="10"/>
      </w:numPr>
      <w:outlineLvl w:val="1"/>
    </w:pPr>
    <w:rPr>
      <w:b/>
      <w:bCs/>
      <w:iCs/>
      <w:color w:val="000000"/>
      <w:szCs w:val="28"/>
    </w:rPr>
  </w:style>
  <w:style w:type="paragraph" w:styleId="Heading3">
    <w:name w:val="heading 3"/>
    <w:basedOn w:val="Normal"/>
    <w:next w:val="Normal"/>
    <w:link w:val="Heading3Char"/>
    <w:semiHidden/>
    <w:unhideWhenUsed/>
    <w:qFormat/>
    <w:rsid w:val="00C270DD"/>
    <w:pPr>
      <w:numPr>
        <w:ilvl w:val="2"/>
        <w:numId w:val="10"/>
      </w:numPr>
      <w:outlineLvl w:val="2"/>
    </w:pPr>
    <w:rPr>
      <w:bCs/>
      <w:color w:val="000000"/>
      <w:szCs w:val="26"/>
    </w:rPr>
  </w:style>
  <w:style w:type="paragraph" w:styleId="Heading4">
    <w:name w:val="heading 4"/>
    <w:basedOn w:val="Normal"/>
    <w:next w:val="Normal"/>
    <w:link w:val="Heading4Char"/>
    <w:semiHidden/>
    <w:unhideWhenUsed/>
    <w:qFormat/>
    <w:rsid w:val="00C270DD"/>
    <w:pPr>
      <w:numPr>
        <w:ilvl w:val="3"/>
        <w:numId w:val="10"/>
      </w:numPr>
      <w:tabs>
        <w:tab w:val="left" w:pos="2520"/>
      </w:tabs>
      <w:outlineLvl w:val="3"/>
    </w:pPr>
    <w:rPr>
      <w:bCs/>
      <w:color w:val="000000"/>
      <w:szCs w:val="28"/>
    </w:rPr>
  </w:style>
  <w:style w:type="paragraph" w:styleId="Heading6">
    <w:name w:val="heading 6"/>
    <w:basedOn w:val="Normal"/>
    <w:next w:val="Normal"/>
    <w:link w:val="Heading6Char"/>
    <w:unhideWhenUsed/>
    <w:qFormat/>
    <w:rsid w:val="00C270DD"/>
    <w:pPr>
      <w:numPr>
        <w:ilvl w:val="5"/>
        <w:numId w:val="10"/>
      </w:numPr>
      <w:outlineLvl w:val="5"/>
    </w:pPr>
    <w:rPr>
      <w:bCs/>
      <w:color w:val="000000"/>
      <w:szCs w:val="22"/>
    </w:rPr>
  </w:style>
  <w:style w:type="paragraph" w:styleId="Heading7">
    <w:name w:val="heading 7"/>
    <w:basedOn w:val="Normal"/>
    <w:next w:val="Normal"/>
    <w:link w:val="Heading7Char"/>
    <w:semiHidden/>
    <w:unhideWhenUsed/>
    <w:qFormat/>
    <w:rsid w:val="00C270DD"/>
    <w:pPr>
      <w:numPr>
        <w:ilvl w:val="6"/>
        <w:numId w:val="10"/>
      </w:numPr>
      <w:outlineLvl w:val="6"/>
    </w:pPr>
    <w:rPr>
      <w:color w:val="000000"/>
    </w:rPr>
  </w:style>
  <w:style w:type="paragraph" w:styleId="Heading8">
    <w:name w:val="heading 8"/>
    <w:basedOn w:val="Normal"/>
    <w:next w:val="Normal"/>
    <w:link w:val="Heading8Char"/>
    <w:semiHidden/>
    <w:unhideWhenUsed/>
    <w:qFormat/>
    <w:rsid w:val="00C270DD"/>
    <w:pPr>
      <w:numPr>
        <w:ilvl w:val="7"/>
        <w:numId w:val="10"/>
      </w:numPr>
      <w:outlineLvl w:val="7"/>
    </w:pPr>
    <w:rPr>
      <w:iCs/>
      <w:color w:val="000000"/>
    </w:rPr>
  </w:style>
  <w:style w:type="paragraph" w:styleId="Heading9">
    <w:name w:val="heading 9"/>
    <w:basedOn w:val="Normal"/>
    <w:next w:val="Normal"/>
    <w:link w:val="Heading9Char"/>
    <w:semiHidden/>
    <w:unhideWhenUsed/>
    <w:qFormat/>
    <w:rsid w:val="00C270DD"/>
    <w:pPr>
      <w:numPr>
        <w:ilvl w:val="8"/>
        <w:numId w:val="10"/>
      </w:numPr>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6B"/>
    <w:pPr>
      <w:ind w:left="720"/>
      <w:contextualSpacing/>
    </w:pPr>
  </w:style>
  <w:style w:type="paragraph" w:styleId="Header">
    <w:name w:val="header"/>
    <w:basedOn w:val="Normal"/>
    <w:link w:val="HeaderChar"/>
    <w:uiPriority w:val="99"/>
    <w:unhideWhenUsed/>
    <w:rsid w:val="00996842"/>
    <w:pPr>
      <w:tabs>
        <w:tab w:val="center" w:pos="4680"/>
        <w:tab w:val="right" w:pos="9360"/>
      </w:tabs>
      <w:spacing w:after="0"/>
    </w:pPr>
  </w:style>
  <w:style w:type="character" w:customStyle="1" w:styleId="HeaderChar">
    <w:name w:val="Header Char"/>
    <w:basedOn w:val="DefaultParagraphFont"/>
    <w:link w:val="Header"/>
    <w:uiPriority w:val="99"/>
    <w:rsid w:val="009968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6842"/>
    <w:pPr>
      <w:tabs>
        <w:tab w:val="center" w:pos="4680"/>
        <w:tab w:val="right" w:pos="9360"/>
      </w:tabs>
      <w:spacing w:after="0"/>
    </w:pPr>
  </w:style>
  <w:style w:type="character" w:customStyle="1" w:styleId="FooterChar">
    <w:name w:val="Footer Char"/>
    <w:basedOn w:val="DefaultParagraphFont"/>
    <w:link w:val="Footer"/>
    <w:uiPriority w:val="99"/>
    <w:rsid w:val="009968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D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2D"/>
    <w:rPr>
      <w:rFonts w:ascii="Tahoma" w:eastAsia="Times New Roman" w:hAnsi="Tahoma" w:cs="Tahoma"/>
      <w:sz w:val="16"/>
      <w:szCs w:val="16"/>
    </w:rPr>
  </w:style>
  <w:style w:type="paragraph" w:customStyle="1" w:styleId="NormalHangingIndent2">
    <w:name w:val="Normal (Hanging Indent 2)"/>
    <w:basedOn w:val="Normal"/>
    <w:next w:val="Normal"/>
    <w:rsid w:val="00E309D2"/>
    <w:pPr>
      <w:ind w:left="1440" w:hanging="720"/>
    </w:pPr>
  </w:style>
  <w:style w:type="paragraph" w:customStyle="1" w:styleId="NormalHangingIndent3">
    <w:name w:val="Normal (Hanging Indent 3)"/>
    <w:basedOn w:val="Normal"/>
    <w:next w:val="Normal"/>
    <w:rsid w:val="00E309D2"/>
    <w:pPr>
      <w:ind w:left="2160" w:hanging="720"/>
    </w:pPr>
  </w:style>
  <w:style w:type="character" w:customStyle="1" w:styleId="Heading1Char">
    <w:name w:val="Heading 1 Char"/>
    <w:basedOn w:val="DefaultParagraphFont"/>
    <w:link w:val="Heading1"/>
    <w:rsid w:val="00C270DD"/>
    <w:rPr>
      <w:rFonts w:ascii="Times New Roman" w:eastAsia="Times New Roman" w:hAnsi="Times New Roman" w:cs="Times New Roman"/>
      <w:b/>
      <w:bCs/>
      <w:caps/>
      <w:color w:val="000000"/>
      <w:sz w:val="24"/>
      <w:szCs w:val="32"/>
    </w:rPr>
  </w:style>
  <w:style w:type="character" w:customStyle="1" w:styleId="Heading2Char">
    <w:name w:val="Heading 2 Char"/>
    <w:basedOn w:val="DefaultParagraphFont"/>
    <w:link w:val="Heading2"/>
    <w:rsid w:val="00C270DD"/>
    <w:rPr>
      <w:rFonts w:ascii="Times New Roman" w:eastAsia="Times New Roman" w:hAnsi="Times New Roman" w:cs="Times New Roman"/>
      <w:b/>
      <w:bCs/>
      <w:iCs/>
      <w:color w:val="000000"/>
      <w:sz w:val="24"/>
      <w:szCs w:val="28"/>
    </w:rPr>
  </w:style>
  <w:style w:type="character" w:customStyle="1" w:styleId="Heading3Char">
    <w:name w:val="Heading 3 Char"/>
    <w:basedOn w:val="DefaultParagraphFont"/>
    <w:link w:val="Heading3"/>
    <w:semiHidden/>
    <w:rsid w:val="00C270DD"/>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semiHidden/>
    <w:rsid w:val="00C270DD"/>
    <w:rPr>
      <w:rFonts w:ascii="Times New Roman" w:eastAsia="Times New Roman" w:hAnsi="Times New Roman" w:cs="Times New Roman"/>
      <w:bCs/>
      <w:color w:val="000000"/>
      <w:sz w:val="24"/>
      <w:szCs w:val="28"/>
    </w:rPr>
  </w:style>
  <w:style w:type="character" w:customStyle="1" w:styleId="Heading6Char">
    <w:name w:val="Heading 6 Char"/>
    <w:basedOn w:val="DefaultParagraphFont"/>
    <w:link w:val="Heading6"/>
    <w:rsid w:val="00C270DD"/>
    <w:rPr>
      <w:rFonts w:ascii="Times New Roman" w:eastAsia="Times New Roman" w:hAnsi="Times New Roman" w:cs="Times New Roman"/>
      <w:bCs/>
      <w:color w:val="000000"/>
      <w:sz w:val="24"/>
    </w:rPr>
  </w:style>
  <w:style w:type="character" w:customStyle="1" w:styleId="Heading7Char">
    <w:name w:val="Heading 7 Char"/>
    <w:basedOn w:val="DefaultParagraphFont"/>
    <w:link w:val="Heading7"/>
    <w:semiHidden/>
    <w:rsid w:val="00C270DD"/>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semiHidden/>
    <w:rsid w:val="00C270DD"/>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semiHidden/>
    <w:rsid w:val="00C270DD"/>
    <w:rPr>
      <w:rFonts w:ascii="Times New Roman" w:eastAsia="Times New Roman" w:hAnsi="Times New Roman" w:cs="Times New Roman"/>
      <w:color w:val="000000"/>
      <w:sz w:val="24"/>
    </w:rPr>
  </w:style>
  <w:style w:type="paragraph" w:styleId="BodyText">
    <w:name w:val="Body Text"/>
    <w:basedOn w:val="Normal"/>
    <w:link w:val="BodyTextChar"/>
    <w:semiHidden/>
    <w:unhideWhenUsed/>
    <w:rsid w:val="00C270DD"/>
    <w:pPr>
      <w:spacing w:after="120"/>
    </w:pPr>
  </w:style>
  <w:style w:type="character" w:customStyle="1" w:styleId="BodyTextChar">
    <w:name w:val="Body Text Char"/>
    <w:basedOn w:val="DefaultParagraphFont"/>
    <w:link w:val="BodyText"/>
    <w:semiHidden/>
    <w:rsid w:val="00C270DD"/>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C270DD"/>
    <w:pPr>
      <w:spacing w:after="120"/>
      <w:ind w:left="360"/>
    </w:pPr>
  </w:style>
  <w:style w:type="character" w:customStyle="1" w:styleId="BodyTextIndentChar">
    <w:name w:val="Body Text Indent Char"/>
    <w:basedOn w:val="DefaultParagraphFont"/>
    <w:link w:val="BodyTextIndent"/>
    <w:rsid w:val="00C270DD"/>
    <w:rPr>
      <w:rFonts w:ascii="Times New Roman" w:eastAsia="Times New Roman" w:hAnsi="Times New Roman" w:cs="Times New Roman"/>
      <w:sz w:val="24"/>
      <w:szCs w:val="24"/>
    </w:rPr>
  </w:style>
  <w:style w:type="paragraph" w:customStyle="1" w:styleId="ExDStdProvsNormal">
    <w:name w:val="ExDStdProvsNormal"/>
    <w:rsid w:val="00C270DD"/>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D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588985">
      <w:bodyDiv w:val="1"/>
      <w:marLeft w:val="0"/>
      <w:marRight w:val="0"/>
      <w:marTop w:val="0"/>
      <w:marBottom w:val="0"/>
      <w:divBdr>
        <w:top w:val="none" w:sz="0" w:space="0" w:color="auto"/>
        <w:left w:val="none" w:sz="0" w:space="0" w:color="auto"/>
        <w:bottom w:val="none" w:sz="0" w:space="0" w:color="auto"/>
        <w:right w:val="none" w:sz="0" w:space="0" w:color="auto"/>
      </w:divBdr>
    </w:div>
    <w:div w:id="20583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5405-02CD-4395-B4DC-5FD90BD9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2019-05-17T18:55:00Z</dcterms:created>
  <dcterms:modified xsi:type="dcterms:W3CDTF">2019-05-17T18:58:00Z</dcterms:modified>
</cp:coreProperties>
</file>