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26317" w14:textId="77777777" w:rsidR="00C05C9A" w:rsidRPr="008703EF" w:rsidRDefault="00C05C9A" w:rsidP="008703EF">
      <w:pPr>
        <w:pStyle w:val="CoverPageLoanNumberandName"/>
        <w:spacing w:after="0"/>
        <w:jc w:val="center"/>
        <w:rPr>
          <w:rFonts w:ascii="Arial" w:hAnsi="Arial" w:cs="Arial"/>
          <w:b/>
        </w:rPr>
      </w:pPr>
      <w:r w:rsidRPr="008703EF">
        <w:rPr>
          <w:rFonts w:ascii="Arial" w:hAnsi="Arial" w:cs="Arial"/>
          <w:b/>
        </w:rPr>
        <w:t>Rider to Loan Agreement</w:t>
      </w:r>
    </w:p>
    <w:p w14:paraId="0B803CFB" w14:textId="7C508DA1" w:rsidR="00C05C9A" w:rsidRPr="008703EF" w:rsidRDefault="00C05C9A" w:rsidP="008703EF">
      <w:pPr>
        <w:pStyle w:val="CoverPageLoanNumberandName"/>
        <w:spacing w:after="0"/>
        <w:jc w:val="center"/>
        <w:rPr>
          <w:rFonts w:ascii="Arial" w:hAnsi="Arial" w:cs="Arial"/>
          <w:b/>
        </w:rPr>
      </w:pPr>
      <w:r w:rsidRPr="008703EF">
        <w:rPr>
          <w:rFonts w:ascii="Arial" w:hAnsi="Arial" w:cs="Arial"/>
          <w:b/>
        </w:rPr>
        <w:t xml:space="preserve">Supplemental </w:t>
      </w:r>
      <w:r w:rsidR="00D522C4" w:rsidRPr="008703EF">
        <w:rPr>
          <w:rFonts w:ascii="Arial" w:hAnsi="Arial" w:cs="Arial"/>
          <w:b/>
        </w:rPr>
        <w:t>Loan</w:t>
      </w:r>
    </w:p>
    <w:p w14:paraId="51B01192" w14:textId="1D79C0BB" w:rsidR="00C05C9A" w:rsidRPr="00BD35B5" w:rsidRDefault="00C05C9A" w:rsidP="008703EF">
      <w:pPr>
        <w:shd w:val="clear" w:color="auto" w:fill="FFFFFF"/>
        <w:jc w:val="center"/>
        <w:rPr>
          <w:rFonts w:ascii="Arial" w:hAnsi="Arial" w:cs="Arial"/>
          <w:bCs/>
          <w:szCs w:val="24"/>
        </w:rPr>
      </w:pPr>
      <w:r w:rsidRPr="00BD35B5">
        <w:rPr>
          <w:rFonts w:ascii="Arial" w:hAnsi="Arial" w:cs="Arial"/>
          <w:bCs/>
          <w:szCs w:val="24"/>
        </w:rPr>
        <w:t xml:space="preserve">(Revised </w:t>
      </w:r>
      <w:r w:rsidR="00B90EF3">
        <w:rPr>
          <w:rFonts w:ascii="Arial" w:hAnsi="Arial" w:cs="Arial"/>
          <w:bCs/>
          <w:szCs w:val="24"/>
        </w:rPr>
        <w:t>6-14</w:t>
      </w:r>
      <w:r w:rsidRPr="00BD35B5">
        <w:rPr>
          <w:rFonts w:ascii="Arial" w:hAnsi="Arial" w:cs="Arial"/>
          <w:bCs/>
          <w:szCs w:val="24"/>
        </w:rPr>
        <w:t>-202</w:t>
      </w:r>
      <w:r w:rsidR="00D522C4">
        <w:rPr>
          <w:rFonts w:ascii="Arial" w:hAnsi="Arial" w:cs="Arial"/>
          <w:bCs/>
          <w:szCs w:val="24"/>
        </w:rPr>
        <w:t>2</w:t>
      </w:r>
      <w:r w:rsidRPr="00BD35B5">
        <w:rPr>
          <w:rFonts w:ascii="Arial" w:hAnsi="Arial" w:cs="Arial"/>
          <w:bCs/>
          <w:szCs w:val="24"/>
        </w:rPr>
        <w:t>)</w:t>
      </w:r>
    </w:p>
    <w:p w14:paraId="1C742B0C" w14:textId="77777777" w:rsidR="00792D07" w:rsidRPr="00C05C9A" w:rsidRDefault="00792D07">
      <w:pPr>
        <w:pStyle w:val="CoverPageLoanNumberandName"/>
        <w:spacing w:after="0"/>
        <w:jc w:val="center"/>
        <w:rPr>
          <w:rFonts w:ascii="Arial" w:hAnsi="Arial" w:cs="Arial"/>
          <w:b/>
          <w:sz w:val="20"/>
          <w:szCs w:val="20"/>
        </w:rPr>
      </w:pPr>
    </w:p>
    <w:p w14:paraId="2FA4225C" w14:textId="70B37825" w:rsidR="00792D07" w:rsidRPr="00C05C9A" w:rsidRDefault="00AB3428" w:rsidP="008703EF">
      <w:pPr>
        <w:shd w:val="clear" w:color="auto" w:fill="FFFFFF"/>
        <w:tabs>
          <w:tab w:val="left" w:pos="360"/>
          <w:tab w:val="left" w:pos="720"/>
          <w:tab w:val="left" w:pos="1080"/>
          <w:tab w:val="left" w:pos="1440"/>
          <w:tab w:val="left" w:pos="4530"/>
        </w:tabs>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70C31C2" w14:textId="5D33981E" w:rsidR="00792D07" w:rsidRPr="00C05C9A" w:rsidRDefault="00792D07" w:rsidP="00DC7882">
      <w:pPr>
        <w:tabs>
          <w:tab w:val="left" w:pos="-1440"/>
          <w:tab w:val="left" w:pos="-720"/>
          <w:tab w:val="left" w:pos="2880"/>
          <w:tab w:val="left" w:pos="3600"/>
          <w:tab w:val="left" w:pos="4320"/>
          <w:tab w:val="left" w:pos="5040"/>
          <w:tab w:val="left" w:pos="5760"/>
          <w:tab w:val="left" w:pos="6340"/>
          <w:tab w:val="left" w:pos="6480"/>
        </w:tabs>
        <w:suppressAutoHyphens/>
        <w:rPr>
          <w:rFonts w:ascii="Arial" w:hAnsi="Arial" w:cs="Arial"/>
        </w:rPr>
      </w:pPr>
      <w:r w:rsidRPr="00C05C9A">
        <w:rPr>
          <w:rFonts w:ascii="Arial" w:hAnsi="Arial" w:cs="Arial"/>
        </w:rPr>
        <w:t xml:space="preserve">The following changes are made to the Loan Agreement </w:t>
      </w:r>
      <w:r w:rsidR="00F27B33">
        <w:rPr>
          <w:rFonts w:ascii="Arial" w:hAnsi="Arial" w:cs="Arial"/>
        </w:rPr>
        <w:t>that</w:t>
      </w:r>
      <w:r w:rsidR="00F27B33" w:rsidRPr="00C05C9A">
        <w:rPr>
          <w:rFonts w:ascii="Arial" w:hAnsi="Arial" w:cs="Arial"/>
        </w:rPr>
        <w:t xml:space="preserve"> </w:t>
      </w:r>
      <w:r w:rsidRPr="00C05C9A">
        <w:rPr>
          <w:rFonts w:ascii="Arial" w:hAnsi="Arial" w:cs="Arial"/>
        </w:rPr>
        <w:t>precedes this Rider:</w:t>
      </w:r>
    </w:p>
    <w:p w14:paraId="09DDBF50" w14:textId="77777777" w:rsidR="00BE1BE6" w:rsidRPr="00C05C9A" w:rsidRDefault="00BE1BE6" w:rsidP="00DC7882">
      <w:pPr>
        <w:tabs>
          <w:tab w:val="left" w:pos="-1440"/>
          <w:tab w:val="left" w:pos="-720"/>
          <w:tab w:val="left" w:pos="2880"/>
          <w:tab w:val="left" w:pos="3600"/>
          <w:tab w:val="left" w:pos="4320"/>
          <w:tab w:val="left" w:pos="5040"/>
          <w:tab w:val="left" w:pos="5760"/>
          <w:tab w:val="left" w:pos="6340"/>
          <w:tab w:val="left" w:pos="6480"/>
        </w:tabs>
        <w:suppressAutoHyphens/>
        <w:rPr>
          <w:rFonts w:ascii="Arial" w:hAnsi="Arial" w:cs="Arial"/>
        </w:rPr>
      </w:pPr>
    </w:p>
    <w:p w14:paraId="1B011FC1" w14:textId="1F5F95FC" w:rsidR="00BE1BE6" w:rsidRPr="00C05C9A" w:rsidRDefault="00792D07" w:rsidP="00DC7882">
      <w:pPr>
        <w:shd w:val="clear" w:color="auto" w:fill="FFFFFF"/>
        <w:tabs>
          <w:tab w:val="left" w:pos="720"/>
          <w:tab w:val="left" w:pos="1080"/>
          <w:tab w:val="left" w:pos="1440"/>
        </w:tabs>
        <w:ind w:left="720" w:hanging="720"/>
        <w:rPr>
          <w:rFonts w:ascii="Arial" w:hAnsi="Arial" w:cs="Arial"/>
        </w:rPr>
      </w:pPr>
      <w:r w:rsidRPr="00C05C9A">
        <w:rPr>
          <w:rFonts w:ascii="Arial" w:hAnsi="Arial" w:cs="Arial"/>
        </w:rPr>
        <w:t>A.</w:t>
      </w:r>
      <w:r w:rsidRPr="00C05C9A">
        <w:rPr>
          <w:rFonts w:ascii="Arial" w:hAnsi="Arial" w:cs="Arial"/>
        </w:rPr>
        <w:tab/>
      </w:r>
      <w:r w:rsidR="00BD769F" w:rsidRPr="00C05C9A">
        <w:rPr>
          <w:rFonts w:ascii="Arial" w:hAnsi="Arial" w:cs="Arial"/>
        </w:rPr>
        <w:t>Section 4.01(</w:t>
      </w:r>
      <w:r w:rsidR="00F27B33">
        <w:rPr>
          <w:rFonts w:ascii="Arial" w:hAnsi="Arial" w:cs="Arial"/>
        </w:rPr>
        <w:t>e</w:t>
      </w:r>
      <w:r w:rsidR="00BD769F" w:rsidRPr="00C05C9A">
        <w:rPr>
          <w:rFonts w:ascii="Arial" w:hAnsi="Arial" w:cs="Arial"/>
        </w:rPr>
        <w:t>) is deleted and replaced with the following:</w:t>
      </w:r>
    </w:p>
    <w:p w14:paraId="152BF1BA" w14:textId="77777777" w:rsidR="00792D07" w:rsidRPr="00C05C9A" w:rsidRDefault="00792D07" w:rsidP="00DC7882">
      <w:pPr>
        <w:shd w:val="clear" w:color="auto" w:fill="FFFFFF"/>
        <w:tabs>
          <w:tab w:val="left" w:pos="720"/>
          <w:tab w:val="left" w:pos="1080"/>
          <w:tab w:val="left" w:pos="1440"/>
        </w:tabs>
        <w:ind w:left="720" w:hanging="720"/>
        <w:rPr>
          <w:rFonts w:ascii="Arial" w:hAnsi="Arial" w:cs="Arial"/>
        </w:rPr>
      </w:pPr>
    </w:p>
    <w:p w14:paraId="51E53267" w14:textId="3109AB48" w:rsidR="00792D07" w:rsidRPr="00C05C9A" w:rsidRDefault="00792D07" w:rsidP="00DC7882">
      <w:pPr>
        <w:pStyle w:val="NormalHangingIndent2"/>
        <w:spacing w:after="0"/>
        <w:ind w:left="1498" w:hanging="778"/>
        <w:jc w:val="left"/>
        <w:rPr>
          <w:rFonts w:ascii="Arial" w:hAnsi="Arial" w:cs="Arial"/>
          <w:sz w:val="20"/>
          <w:szCs w:val="20"/>
        </w:rPr>
      </w:pPr>
      <w:r w:rsidRPr="00C05C9A">
        <w:rPr>
          <w:rFonts w:ascii="Arial" w:hAnsi="Arial" w:cs="Arial"/>
          <w:sz w:val="20"/>
          <w:szCs w:val="20"/>
        </w:rPr>
        <w:t>(</w:t>
      </w:r>
      <w:r w:rsidR="00F27B33">
        <w:rPr>
          <w:rFonts w:ascii="Arial" w:hAnsi="Arial" w:cs="Arial"/>
          <w:sz w:val="20"/>
          <w:szCs w:val="20"/>
        </w:rPr>
        <w:t>e</w:t>
      </w:r>
      <w:r w:rsidRPr="00C05C9A">
        <w:rPr>
          <w:rFonts w:ascii="Arial" w:hAnsi="Arial" w:cs="Arial"/>
          <w:sz w:val="20"/>
          <w:szCs w:val="20"/>
        </w:rPr>
        <w:t>)</w:t>
      </w:r>
      <w:r w:rsidRPr="00C05C9A">
        <w:rPr>
          <w:rFonts w:ascii="Arial" w:hAnsi="Arial" w:cs="Arial"/>
          <w:sz w:val="20"/>
          <w:szCs w:val="20"/>
        </w:rPr>
        <w:tab/>
      </w:r>
      <w:r w:rsidRPr="00C05C9A">
        <w:rPr>
          <w:rFonts w:ascii="Arial" w:hAnsi="Arial" w:cs="Arial"/>
          <w:sz w:val="20"/>
          <w:szCs w:val="20"/>
          <w:u w:val="single"/>
        </w:rPr>
        <w:t>Collection of Reserve Funds Under Senior Loan Documents</w:t>
      </w:r>
      <w:r w:rsidRPr="00C05C9A">
        <w:rPr>
          <w:rFonts w:ascii="Arial" w:hAnsi="Arial" w:cs="Arial"/>
          <w:sz w:val="20"/>
          <w:szCs w:val="20"/>
        </w:rPr>
        <w:t xml:space="preserve">. </w:t>
      </w:r>
      <w:r w:rsidR="009D0C6F" w:rsidRPr="00C05C9A">
        <w:rPr>
          <w:rFonts w:ascii="Arial" w:hAnsi="Arial" w:cs="Arial"/>
          <w:sz w:val="20"/>
          <w:szCs w:val="20"/>
        </w:rPr>
        <w:t xml:space="preserve">All </w:t>
      </w:r>
      <w:r w:rsidRPr="00C05C9A">
        <w:rPr>
          <w:rFonts w:ascii="Arial" w:hAnsi="Arial" w:cs="Arial"/>
          <w:sz w:val="20"/>
          <w:szCs w:val="20"/>
        </w:rPr>
        <w:t xml:space="preserve">payments made by Borrower as deposits for the payment of any Reserve Funds under the Senior Loan Documents from and after the effective date of the Supplemental Instrument will be credited to the </w:t>
      </w:r>
      <w:r w:rsidR="009D0C6F" w:rsidRPr="00C05C9A">
        <w:rPr>
          <w:rFonts w:ascii="Arial" w:hAnsi="Arial" w:cs="Arial"/>
          <w:sz w:val="20"/>
          <w:szCs w:val="20"/>
        </w:rPr>
        <w:t xml:space="preserve">corresponding </w:t>
      </w:r>
      <w:r w:rsidRPr="00C05C9A">
        <w:rPr>
          <w:rFonts w:ascii="Arial" w:hAnsi="Arial" w:cs="Arial"/>
          <w:sz w:val="20"/>
          <w:szCs w:val="20"/>
        </w:rPr>
        <w:t xml:space="preserve">deposits for the applicable Reserve Funds </w:t>
      </w:r>
      <w:r w:rsidR="00D14659" w:rsidRPr="00C05C9A">
        <w:rPr>
          <w:rFonts w:ascii="Arial" w:hAnsi="Arial" w:cs="Arial"/>
          <w:sz w:val="20"/>
          <w:szCs w:val="20"/>
        </w:rPr>
        <w:t xml:space="preserve">required </w:t>
      </w:r>
      <w:r w:rsidRPr="00C05C9A">
        <w:rPr>
          <w:rFonts w:ascii="Arial" w:hAnsi="Arial" w:cs="Arial"/>
          <w:sz w:val="20"/>
          <w:szCs w:val="20"/>
        </w:rPr>
        <w:t>under the Supplemental Loan Documents.</w:t>
      </w:r>
    </w:p>
    <w:p w14:paraId="60CB7E58" w14:textId="77777777" w:rsidR="00BE1BE6" w:rsidRPr="00C05C9A" w:rsidRDefault="00BE1BE6" w:rsidP="00DC7882">
      <w:pPr>
        <w:rPr>
          <w:rFonts w:ascii="Arial" w:hAnsi="Arial" w:cs="Arial"/>
        </w:rPr>
      </w:pPr>
    </w:p>
    <w:p w14:paraId="524B9774" w14:textId="1E4D7B0B" w:rsidR="00792D07" w:rsidRPr="00C05C9A" w:rsidRDefault="00D522C4" w:rsidP="00C13641">
      <w:pPr>
        <w:rPr>
          <w:rFonts w:ascii="Arial" w:hAnsi="Arial" w:cs="Arial"/>
        </w:rPr>
      </w:pPr>
      <w:r>
        <w:rPr>
          <w:rFonts w:ascii="Arial" w:hAnsi="Arial" w:cs="Arial"/>
        </w:rPr>
        <w:t>B</w:t>
      </w:r>
      <w:r w:rsidR="00792D07" w:rsidRPr="00C05C9A">
        <w:rPr>
          <w:rFonts w:ascii="Arial" w:hAnsi="Arial" w:cs="Arial"/>
        </w:rPr>
        <w:t>.</w:t>
      </w:r>
      <w:r w:rsidR="00792D07" w:rsidRPr="00C05C9A">
        <w:rPr>
          <w:rFonts w:ascii="Arial" w:hAnsi="Arial" w:cs="Arial"/>
        </w:rPr>
        <w:tab/>
        <w:t>Section</w:t>
      </w:r>
      <w:r w:rsidR="00042DC6" w:rsidRPr="00C05C9A">
        <w:rPr>
          <w:rFonts w:ascii="Arial" w:hAnsi="Arial" w:cs="Arial"/>
        </w:rPr>
        <w:t xml:space="preserve"> </w:t>
      </w:r>
      <w:r w:rsidR="00792D07" w:rsidRPr="00C05C9A">
        <w:rPr>
          <w:rFonts w:ascii="Arial" w:hAnsi="Arial" w:cs="Arial"/>
        </w:rPr>
        <w:t>7.05(a)(</w:t>
      </w:r>
      <w:r w:rsidR="00AA287A" w:rsidRPr="00C05C9A">
        <w:rPr>
          <w:rFonts w:ascii="Arial" w:hAnsi="Arial" w:cs="Arial"/>
        </w:rPr>
        <w:t>x</w:t>
      </w:r>
      <w:r w:rsidR="009C5B01" w:rsidRPr="00C05C9A">
        <w:rPr>
          <w:rFonts w:ascii="Arial" w:hAnsi="Arial" w:cs="Arial"/>
        </w:rPr>
        <w:t>i</w:t>
      </w:r>
      <w:r w:rsidR="00792D07" w:rsidRPr="00C05C9A">
        <w:rPr>
          <w:rFonts w:ascii="Arial" w:hAnsi="Arial" w:cs="Arial"/>
        </w:rPr>
        <w:t>) is deleted and replaced with the following:</w:t>
      </w:r>
    </w:p>
    <w:p w14:paraId="38FE2DE9" w14:textId="77777777" w:rsidR="00BD769F" w:rsidRPr="00C05C9A" w:rsidRDefault="00BD769F" w:rsidP="00042DC6">
      <w:pPr>
        <w:ind w:left="1440" w:hanging="720"/>
        <w:rPr>
          <w:rFonts w:ascii="Arial" w:hAnsi="Arial" w:cs="Arial"/>
        </w:rPr>
      </w:pPr>
    </w:p>
    <w:p w14:paraId="0A340549" w14:textId="77777777" w:rsidR="00792D07" w:rsidRPr="00C05C9A" w:rsidRDefault="00792D07" w:rsidP="00281397">
      <w:pPr>
        <w:ind w:left="1440" w:hanging="720"/>
        <w:rPr>
          <w:rFonts w:ascii="Arial" w:hAnsi="Arial" w:cs="Arial"/>
        </w:rPr>
      </w:pPr>
      <w:r w:rsidRPr="00C05C9A">
        <w:rPr>
          <w:rFonts w:ascii="Arial" w:hAnsi="Arial" w:cs="Arial"/>
        </w:rPr>
        <w:t>(</w:t>
      </w:r>
      <w:r w:rsidR="00AA287A" w:rsidRPr="00C05C9A">
        <w:rPr>
          <w:rFonts w:ascii="Arial" w:hAnsi="Arial" w:cs="Arial"/>
        </w:rPr>
        <w:t>x</w:t>
      </w:r>
      <w:r w:rsidR="009C5B01" w:rsidRPr="00C05C9A">
        <w:rPr>
          <w:rFonts w:ascii="Arial" w:hAnsi="Arial" w:cs="Arial"/>
        </w:rPr>
        <w:t>i</w:t>
      </w:r>
      <w:r w:rsidRPr="00C05C9A">
        <w:rPr>
          <w:rFonts w:ascii="Arial" w:hAnsi="Arial" w:cs="Arial"/>
        </w:rPr>
        <w:t>)</w:t>
      </w:r>
      <w:r w:rsidRPr="00C05C9A">
        <w:rPr>
          <w:rFonts w:ascii="Arial" w:hAnsi="Arial" w:cs="Arial"/>
        </w:rPr>
        <w:tab/>
        <w:t>If any Senior Instrument is outstanding, Borrower has obtained the consent of each Senior Lender, and if any Supplemental Instrument is outstanding, Borrower has obtained the consent of each Supplemental Lender.</w:t>
      </w:r>
    </w:p>
    <w:p w14:paraId="08BB797F" w14:textId="77777777" w:rsidR="00792D07" w:rsidRPr="00C05C9A" w:rsidRDefault="00792D07" w:rsidP="00C13641">
      <w:pPr>
        <w:ind w:left="1440" w:hanging="720"/>
        <w:rPr>
          <w:rFonts w:ascii="Arial" w:hAnsi="Arial" w:cs="Arial"/>
        </w:rPr>
      </w:pPr>
    </w:p>
    <w:p w14:paraId="1B30A48D" w14:textId="5469590B" w:rsidR="0075643E" w:rsidRPr="00C05C9A" w:rsidRDefault="00D522C4" w:rsidP="00AA041D">
      <w:pPr>
        <w:rPr>
          <w:rFonts w:ascii="Arial" w:hAnsi="Arial" w:cs="Arial"/>
          <w:bCs/>
        </w:rPr>
      </w:pPr>
      <w:r>
        <w:rPr>
          <w:rFonts w:ascii="Arial" w:hAnsi="Arial" w:cs="Arial"/>
          <w:bCs/>
        </w:rPr>
        <w:t>C</w:t>
      </w:r>
      <w:r w:rsidR="00A81AFE" w:rsidRPr="00C05C9A">
        <w:rPr>
          <w:rFonts w:ascii="Arial" w:hAnsi="Arial" w:cs="Arial"/>
          <w:bCs/>
        </w:rPr>
        <w:t>.</w:t>
      </w:r>
      <w:r w:rsidR="00A81AFE" w:rsidRPr="00C05C9A">
        <w:rPr>
          <w:rFonts w:ascii="Arial" w:hAnsi="Arial" w:cs="Arial"/>
          <w:bCs/>
        </w:rPr>
        <w:tab/>
        <w:t>Section 11.11(b)(xiii) is deleted and replaced with the following:</w:t>
      </w:r>
    </w:p>
    <w:p w14:paraId="34257D88" w14:textId="77777777" w:rsidR="00A81AFE" w:rsidRPr="00C05C9A" w:rsidRDefault="00A81AFE" w:rsidP="00AA041D">
      <w:pPr>
        <w:rPr>
          <w:rFonts w:ascii="Arial" w:hAnsi="Arial" w:cs="Arial"/>
          <w:bCs/>
        </w:rPr>
      </w:pPr>
    </w:p>
    <w:p w14:paraId="1D4D88C0" w14:textId="570392A1" w:rsidR="00A81AFE" w:rsidRPr="00C05C9A" w:rsidRDefault="00A81AFE" w:rsidP="00A81AFE">
      <w:pPr>
        <w:ind w:left="720"/>
        <w:rPr>
          <w:rFonts w:ascii="Arial" w:hAnsi="Arial" w:cs="Arial"/>
        </w:rPr>
      </w:pPr>
      <w:r w:rsidRPr="00C05C9A">
        <w:rPr>
          <w:rFonts w:ascii="Arial" w:hAnsi="Arial" w:cs="Arial"/>
        </w:rPr>
        <w:t>(xiii)    </w:t>
      </w:r>
      <w:r w:rsidR="006C5AEF">
        <w:rPr>
          <w:rFonts w:ascii="Arial" w:hAnsi="Arial" w:cs="Arial"/>
        </w:rPr>
        <w:tab/>
      </w:r>
      <w:r w:rsidRPr="00C05C9A">
        <w:rPr>
          <w:rFonts w:ascii="Arial" w:hAnsi="Arial" w:cs="Arial"/>
        </w:rPr>
        <w:t xml:space="preserve">Commencing on the date that the first Supplemental Loan is originated and </w:t>
      </w:r>
    </w:p>
    <w:p w14:paraId="4283E605" w14:textId="2AC3A57D" w:rsidR="00A81AFE" w:rsidRPr="00C05C9A" w:rsidRDefault="00A81AFE" w:rsidP="00A81AFE">
      <w:pPr>
        <w:ind w:left="1440"/>
        <w:rPr>
          <w:rFonts w:ascii="Arial" w:hAnsi="Arial" w:cs="Arial"/>
        </w:rPr>
      </w:pPr>
      <w:r w:rsidRPr="00C05C9A">
        <w:rPr>
          <w:rFonts w:ascii="Arial" w:hAnsi="Arial" w:cs="Arial"/>
        </w:rPr>
        <w:t xml:space="preserve">continuing for so long as any Supplemental Loan is outstanding, the first lien Senior Lender will begin collection of any deferred Monthly </w:t>
      </w:r>
      <w:r w:rsidR="00C0205B">
        <w:rPr>
          <w:rFonts w:ascii="Arial" w:hAnsi="Arial" w:cs="Arial"/>
        </w:rPr>
        <w:t xml:space="preserve">Replacement Reserve </w:t>
      </w:r>
      <w:r w:rsidRPr="00C05C9A">
        <w:rPr>
          <w:rFonts w:ascii="Arial" w:hAnsi="Arial" w:cs="Arial"/>
        </w:rPr>
        <w:t xml:space="preserve">Deposit or Revised Monthly </w:t>
      </w:r>
      <w:r w:rsidR="00C0205B">
        <w:rPr>
          <w:rFonts w:ascii="Arial" w:hAnsi="Arial" w:cs="Arial"/>
        </w:rPr>
        <w:t xml:space="preserve">Replacement Reserve </w:t>
      </w:r>
      <w:r w:rsidRPr="00C05C9A">
        <w:rPr>
          <w:rFonts w:ascii="Arial" w:hAnsi="Arial" w:cs="Arial"/>
        </w:rPr>
        <w:t>Deposit for Capital Replacements in accordance with Section 4.04(</w:t>
      </w:r>
      <w:r w:rsidR="00F27B33">
        <w:rPr>
          <w:rFonts w:ascii="Arial" w:hAnsi="Arial" w:cs="Arial"/>
        </w:rPr>
        <w:t>b</w:t>
      </w:r>
      <w:r w:rsidRPr="00C05C9A">
        <w:rPr>
          <w:rFonts w:ascii="Arial" w:hAnsi="Arial" w:cs="Arial"/>
        </w:rPr>
        <w:t xml:space="preserve">) (if applicable) as well as Imposition Reserve Deposits for any of the following Impositions marked ‘Deferred’ in </w:t>
      </w:r>
      <w:r w:rsidR="00F27B33">
        <w:rPr>
          <w:rFonts w:ascii="Arial" w:hAnsi="Arial" w:cs="Arial"/>
        </w:rPr>
        <w:t>Section 1.03</w:t>
      </w:r>
      <w:r w:rsidRPr="00C05C9A">
        <w:rPr>
          <w:rFonts w:ascii="Arial" w:hAnsi="Arial" w:cs="Arial"/>
        </w:rPr>
        <w:t>:</w:t>
      </w:r>
    </w:p>
    <w:p w14:paraId="591C3777" w14:textId="77777777" w:rsidR="00A81AFE" w:rsidRPr="00C05C9A" w:rsidRDefault="00A81AFE" w:rsidP="00A81AFE">
      <w:pPr>
        <w:rPr>
          <w:rFonts w:ascii="Arial" w:hAnsi="Arial" w:cs="Arial"/>
        </w:rPr>
      </w:pPr>
      <w:r w:rsidRPr="00C05C9A">
        <w:rPr>
          <w:rFonts w:ascii="Arial" w:hAnsi="Arial" w:cs="Arial"/>
          <w:b/>
          <w:bCs/>
        </w:rPr>
        <w:t> </w:t>
      </w:r>
    </w:p>
    <w:p w14:paraId="2A88AE6B" w14:textId="579F4583" w:rsidR="00A81AFE" w:rsidRPr="00C05C9A" w:rsidRDefault="00A81AFE" w:rsidP="00A81AFE">
      <w:pPr>
        <w:ind w:left="2055" w:hanging="615"/>
        <w:rPr>
          <w:rFonts w:ascii="Arial" w:hAnsi="Arial" w:cs="Arial"/>
        </w:rPr>
      </w:pPr>
      <w:r w:rsidRPr="00C05C9A">
        <w:rPr>
          <w:rFonts w:ascii="Arial" w:hAnsi="Arial" w:cs="Arial"/>
        </w:rPr>
        <w:t xml:space="preserve">(A)      Property Insurance premiums or premiums for other Insurance required by Lender under </w:t>
      </w:r>
      <w:r w:rsidR="00F27B33" w:rsidRPr="00C05C9A">
        <w:rPr>
          <w:rFonts w:ascii="Arial" w:hAnsi="Arial" w:cs="Arial"/>
        </w:rPr>
        <w:t>Section</w:t>
      </w:r>
      <w:r w:rsidR="00F27B33">
        <w:rPr>
          <w:rFonts w:ascii="Arial" w:hAnsi="Arial" w:cs="Arial"/>
        </w:rPr>
        <w:t> </w:t>
      </w:r>
      <w:r w:rsidRPr="00C05C9A">
        <w:rPr>
          <w:rFonts w:ascii="Arial" w:hAnsi="Arial" w:cs="Arial"/>
        </w:rPr>
        <w:t xml:space="preserve">6.10; </w:t>
      </w:r>
      <w:r w:rsidRPr="00C05C9A">
        <w:rPr>
          <w:rFonts w:ascii="Arial" w:hAnsi="Arial" w:cs="Arial"/>
          <w:bCs/>
        </w:rPr>
        <w:t xml:space="preserve">provided, however, the first lien Senior Lender will not begin collection of any deferred Property Insurance premiums payable with respect to insurance coverage requirements under </w:t>
      </w:r>
      <w:r w:rsidR="00F27B33" w:rsidRPr="00C05C9A">
        <w:rPr>
          <w:rFonts w:ascii="Arial" w:hAnsi="Arial" w:cs="Arial"/>
          <w:bCs/>
        </w:rPr>
        <w:t>Section</w:t>
      </w:r>
      <w:r w:rsidR="00F27B33">
        <w:rPr>
          <w:rFonts w:ascii="Arial" w:hAnsi="Arial" w:cs="Arial"/>
          <w:bCs/>
        </w:rPr>
        <w:t> </w:t>
      </w:r>
      <w:r w:rsidRPr="00C05C9A">
        <w:rPr>
          <w:rFonts w:ascii="Arial" w:hAnsi="Arial" w:cs="Arial"/>
          <w:bCs/>
        </w:rPr>
        <w:t xml:space="preserve">6.10 otherwise satisfied by a blanket or master policy of insurance covering the Mortgaged Property so long as </w:t>
      </w:r>
      <w:r w:rsidR="00F27B33" w:rsidRPr="00C05C9A">
        <w:rPr>
          <w:rFonts w:ascii="Arial" w:hAnsi="Arial" w:cs="Arial"/>
          <w:bCs/>
        </w:rPr>
        <w:t>Section</w:t>
      </w:r>
      <w:r w:rsidR="00F27B33">
        <w:rPr>
          <w:rFonts w:ascii="Arial" w:hAnsi="Arial" w:cs="Arial"/>
          <w:bCs/>
        </w:rPr>
        <w:t> </w:t>
      </w:r>
      <w:r w:rsidRPr="00C05C9A">
        <w:rPr>
          <w:rFonts w:ascii="Arial" w:hAnsi="Arial" w:cs="Arial"/>
          <w:bCs/>
        </w:rPr>
        <w:t xml:space="preserve">11.11 of the Loan Agreement for the first lien Senior Indebtedness provides for the continued deferral of such deposits in accordance with this section. </w:t>
      </w:r>
    </w:p>
    <w:p w14:paraId="5897FEB5" w14:textId="77777777" w:rsidR="00A81AFE" w:rsidRPr="00C05C9A" w:rsidRDefault="00A81AFE" w:rsidP="00A81AFE">
      <w:pPr>
        <w:ind w:left="2055"/>
        <w:rPr>
          <w:rFonts w:ascii="Arial" w:hAnsi="Arial" w:cs="Arial"/>
        </w:rPr>
      </w:pPr>
      <w:r w:rsidRPr="00C05C9A">
        <w:rPr>
          <w:rFonts w:ascii="Arial" w:hAnsi="Arial" w:cs="Arial"/>
          <w:color w:val="FF0000"/>
        </w:rPr>
        <w:t> </w:t>
      </w:r>
    </w:p>
    <w:p w14:paraId="5A135CAA" w14:textId="26047A7C" w:rsidR="00A81AFE" w:rsidRPr="00C05C9A" w:rsidRDefault="00A81AFE" w:rsidP="00A81AFE">
      <w:pPr>
        <w:ind w:left="1440"/>
        <w:rPr>
          <w:rFonts w:ascii="Arial" w:hAnsi="Arial" w:cs="Arial"/>
        </w:rPr>
      </w:pPr>
      <w:r w:rsidRPr="00C05C9A">
        <w:rPr>
          <w:rFonts w:ascii="Arial" w:hAnsi="Arial" w:cs="Arial"/>
        </w:rPr>
        <w:t>(B)       Taxes and payments in lieu of taxes</w:t>
      </w:r>
      <w:r w:rsidR="00F27B33">
        <w:rPr>
          <w:rFonts w:ascii="Arial" w:hAnsi="Arial" w:cs="Arial"/>
        </w:rPr>
        <w:t xml:space="preserve"> (PILOT)</w:t>
      </w:r>
      <w:r w:rsidR="004D2711">
        <w:rPr>
          <w:rFonts w:ascii="Arial" w:hAnsi="Arial" w:cs="Arial"/>
        </w:rPr>
        <w:t>.</w:t>
      </w:r>
    </w:p>
    <w:p w14:paraId="33D6C9B7" w14:textId="77777777" w:rsidR="00A81AFE" w:rsidRPr="00C05C9A" w:rsidRDefault="00A81AFE" w:rsidP="00A81AFE">
      <w:pPr>
        <w:rPr>
          <w:rFonts w:ascii="Arial" w:hAnsi="Arial" w:cs="Arial"/>
        </w:rPr>
      </w:pPr>
      <w:r w:rsidRPr="00C05C9A">
        <w:rPr>
          <w:rFonts w:ascii="Arial" w:hAnsi="Arial" w:cs="Arial"/>
        </w:rPr>
        <w:t> </w:t>
      </w:r>
    </w:p>
    <w:p w14:paraId="520530CB" w14:textId="5D0449A6" w:rsidR="00A81AFE" w:rsidRPr="00C05C9A" w:rsidRDefault="00A81AFE" w:rsidP="00A81AFE">
      <w:pPr>
        <w:ind w:left="1440"/>
        <w:rPr>
          <w:rFonts w:ascii="Arial" w:hAnsi="Arial" w:cs="Arial"/>
        </w:rPr>
      </w:pPr>
      <w:r w:rsidRPr="00C05C9A">
        <w:rPr>
          <w:rFonts w:ascii="Arial" w:hAnsi="Arial" w:cs="Arial"/>
        </w:rPr>
        <w:t>(C)       Ground Rents</w:t>
      </w:r>
      <w:r w:rsidR="004D2711">
        <w:rPr>
          <w:rFonts w:ascii="Arial" w:hAnsi="Arial" w:cs="Arial"/>
        </w:rPr>
        <w:t>.</w:t>
      </w:r>
    </w:p>
    <w:p w14:paraId="2C2DC83E" w14:textId="77777777" w:rsidR="00A81AFE" w:rsidRPr="00C05C9A" w:rsidRDefault="00A81AFE" w:rsidP="00A81AFE">
      <w:pPr>
        <w:ind w:left="1440" w:hanging="720"/>
        <w:rPr>
          <w:rFonts w:ascii="Arial" w:hAnsi="Arial" w:cs="Arial"/>
        </w:rPr>
      </w:pPr>
      <w:r w:rsidRPr="00C05C9A">
        <w:rPr>
          <w:rFonts w:ascii="Arial" w:hAnsi="Arial" w:cs="Arial"/>
        </w:rPr>
        <w:t> </w:t>
      </w:r>
    </w:p>
    <w:p w14:paraId="7367CCF6" w14:textId="77777777" w:rsidR="00A81AFE" w:rsidRPr="00C05C9A" w:rsidRDefault="00A81AFE" w:rsidP="00A81AFE">
      <w:pPr>
        <w:ind w:left="1440"/>
        <w:rPr>
          <w:rFonts w:ascii="Arial" w:hAnsi="Arial" w:cs="Arial"/>
        </w:rPr>
      </w:pPr>
      <w:r w:rsidRPr="00C05C9A">
        <w:rPr>
          <w:rFonts w:ascii="Arial" w:hAnsi="Arial" w:cs="Arial"/>
        </w:rPr>
        <w:t>Such deposits will be credited to the payment of any such required Imposition Reserve Deposits under any Supplemental Loan.</w:t>
      </w:r>
    </w:p>
    <w:p w14:paraId="702EDC6B" w14:textId="77777777" w:rsidR="00A81AFE" w:rsidRPr="00C05C9A" w:rsidRDefault="00A81AFE" w:rsidP="00AA041D">
      <w:pPr>
        <w:rPr>
          <w:rFonts w:ascii="Arial" w:hAnsi="Arial" w:cs="Arial"/>
          <w:bCs/>
        </w:rPr>
      </w:pPr>
    </w:p>
    <w:sectPr w:rsidR="00A81AFE" w:rsidRPr="00C05C9A" w:rsidSect="00C05C9A">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68D80" w14:textId="77777777" w:rsidR="00D32CCE" w:rsidRDefault="00D32CCE">
      <w:r>
        <w:separator/>
      </w:r>
    </w:p>
  </w:endnote>
  <w:endnote w:type="continuationSeparator" w:id="0">
    <w:p w14:paraId="678CB495" w14:textId="77777777" w:rsidR="00D32CCE" w:rsidRDefault="00D3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0E71" w14:textId="77777777" w:rsidR="00792D07" w:rsidRPr="00C05C9A" w:rsidRDefault="00792D07">
    <w:pPr>
      <w:tabs>
        <w:tab w:val="right" w:pos="9360"/>
      </w:tabs>
      <w:rPr>
        <w:rStyle w:val="PageNumber"/>
        <w:rFonts w:ascii="Arial" w:hAnsi="Arial" w:cs="Arial"/>
        <w:bCs/>
      </w:rPr>
    </w:pPr>
    <w:r w:rsidRPr="00C05C9A">
      <w:rPr>
        <w:rFonts w:ascii="Arial" w:hAnsi="Arial" w:cs="Arial"/>
        <w:bCs/>
      </w:rPr>
      <w:t>Rider to Multifamily Loan and Security Agreement</w:t>
    </w:r>
    <w:r w:rsidRPr="00C05C9A">
      <w:rPr>
        <w:rFonts w:ascii="Arial" w:hAnsi="Arial" w:cs="Arial"/>
        <w:bCs/>
      </w:rPr>
      <w:tab/>
      <w:t xml:space="preserve">Page </w:t>
    </w:r>
    <w:r w:rsidRPr="00C05C9A">
      <w:rPr>
        <w:rStyle w:val="PageNumber"/>
        <w:rFonts w:ascii="Arial" w:hAnsi="Arial" w:cs="Arial"/>
        <w:bCs/>
      </w:rPr>
      <w:fldChar w:fldCharType="begin"/>
    </w:r>
    <w:r w:rsidRPr="00C05C9A">
      <w:rPr>
        <w:rStyle w:val="PageNumber"/>
        <w:rFonts w:ascii="Arial" w:hAnsi="Arial" w:cs="Arial"/>
        <w:bCs/>
      </w:rPr>
      <w:instrText xml:space="preserve"> PAGE </w:instrText>
    </w:r>
    <w:r w:rsidRPr="00C05C9A">
      <w:rPr>
        <w:rStyle w:val="PageNumber"/>
        <w:rFonts w:ascii="Arial" w:hAnsi="Arial" w:cs="Arial"/>
        <w:bCs/>
      </w:rPr>
      <w:fldChar w:fldCharType="separate"/>
    </w:r>
    <w:r w:rsidR="009D56D2" w:rsidRPr="00C05C9A">
      <w:rPr>
        <w:rStyle w:val="PageNumber"/>
        <w:rFonts w:ascii="Arial" w:hAnsi="Arial" w:cs="Arial"/>
        <w:bCs/>
        <w:noProof/>
      </w:rPr>
      <w:t>2</w:t>
    </w:r>
    <w:r w:rsidRPr="00C05C9A">
      <w:rPr>
        <w:rStyle w:val="PageNumber"/>
        <w:rFonts w:ascii="Arial" w:hAnsi="Arial" w:cs="Arial"/>
        <w:bCs/>
      </w:rPr>
      <w:fldChar w:fldCharType="end"/>
    </w:r>
  </w:p>
  <w:p w14:paraId="55D7CD48" w14:textId="77777777" w:rsidR="00792D07" w:rsidRPr="00C05C9A" w:rsidRDefault="00792D07">
    <w:pPr>
      <w:tabs>
        <w:tab w:val="right" w:pos="9360"/>
      </w:tabs>
      <w:rPr>
        <w:rFonts w:ascii="Arial" w:hAnsi="Arial" w:cs="Arial"/>
        <w:bCs/>
      </w:rPr>
    </w:pPr>
    <w:r w:rsidRPr="00C05C9A">
      <w:rPr>
        <w:rFonts w:ascii="Arial" w:hAnsi="Arial" w:cs="Arial"/>
        <w:bCs/>
      </w:rPr>
      <w:t>Supplemental Mortgage</w:t>
    </w:r>
    <w:r w:rsidRPr="00C05C9A">
      <w:rPr>
        <w:rFonts w:ascii="Arial" w:hAnsi="Arial" w:cs="Arial"/>
        <w:bCs/>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C6B3F" w14:textId="0540C0C2" w:rsidR="00C05C9A" w:rsidRPr="00C05C9A" w:rsidRDefault="00792D07">
    <w:pPr>
      <w:tabs>
        <w:tab w:val="right" w:pos="8640"/>
      </w:tabs>
      <w:rPr>
        <w:rFonts w:ascii="Arial" w:hAnsi="Arial" w:cs="Arial"/>
        <w:bCs/>
      </w:rPr>
    </w:pPr>
    <w:r w:rsidRPr="00C05C9A">
      <w:rPr>
        <w:rFonts w:ascii="Arial" w:hAnsi="Arial" w:cs="Arial"/>
        <w:bC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AFA2B" w14:textId="77777777" w:rsidR="00D32CCE" w:rsidRDefault="00D32CCE">
      <w:pPr>
        <w:rPr>
          <w:noProof/>
        </w:rPr>
      </w:pPr>
      <w:r>
        <w:rPr>
          <w:noProof/>
        </w:rPr>
        <w:separator/>
      </w:r>
    </w:p>
  </w:footnote>
  <w:footnote w:type="continuationSeparator" w:id="0">
    <w:p w14:paraId="1F02003B" w14:textId="77777777" w:rsidR="00D32CCE" w:rsidRDefault="00D32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A4689"/>
    <w:multiLevelType w:val="hybridMultilevel"/>
    <w:tmpl w:val="E6061978"/>
    <w:lvl w:ilvl="0" w:tplc="FA3207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strike w:val="0"/>
        <w:dstrike w:val="0"/>
        <w:u w:val="none"/>
        <w:effect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strike w:val="0"/>
        <w:dstrike w:val="0"/>
        <w:u w:val="none"/>
        <w:effect w:val="none"/>
      </w:rPr>
    </w:lvl>
    <w:lvl w:ilvl="2">
      <w:start w:val="1"/>
      <w:numFmt w:val="lowerRoman"/>
      <w:pStyle w:val="Scheme11L3"/>
      <w:lvlText w:val="(%3)"/>
      <w:lvlJc w:val="left"/>
      <w:pPr>
        <w:tabs>
          <w:tab w:val="num" w:pos="2029"/>
        </w:tabs>
        <w:ind w:left="2029" w:hanging="720"/>
      </w:pPr>
      <w:rPr>
        <w:rFonts w:ascii="Times New Roman" w:hAnsi="Times New Roman" w:cs="Times New Roman"/>
        <w:b w:val="0"/>
        <w:i w:val="0"/>
        <w:caps w:val="0"/>
        <w:strike w:val="0"/>
        <w:dstrike w:val="0"/>
        <w:u w:val="none"/>
        <w:effect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strike w:val="0"/>
        <w:dstrike w:val="0"/>
        <w:u w:val="none"/>
        <w:effect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strike w:val="0"/>
        <w:dstrike w:val="0"/>
        <w:u w:val="none"/>
        <w:effect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strike w:val="0"/>
        <w:dstrike w:val="0"/>
        <w:u w:val="none"/>
        <w:effect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strike w:val="0"/>
        <w:dstrike w:val="0"/>
        <w:u w:val="none"/>
        <w:effect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strike w:val="0"/>
        <w:dstrike w:val="0"/>
        <w:u w:val="none"/>
        <w:effect w:val="none"/>
      </w:rPr>
    </w:lvl>
  </w:abstractNum>
  <w:abstractNum w:abstractNumId="2" w15:restartNumberingAfterBreak="0">
    <w:nsid w:val="6F155820"/>
    <w:multiLevelType w:val="hybridMultilevel"/>
    <w:tmpl w:val="7F7E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21D13"/>
    <w:multiLevelType w:val="multilevel"/>
    <w:tmpl w:val="24923760"/>
    <w:lvl w:ilvl="0">
      <w:start w:val="1"/>
      <w:numFmt w:val="upperLetter"/>
      <w:lvlText w:val="%1."/>
      <w:lvlJc w:val="left"/>
      <w:pPr>
        <w:tabs>
          <w:tab w:val="num" w:pos="1800"/>
        </w:tabs>
        <w:ind w:left="0" w:firstLine="1440"/>
      </w:pPr>
    </w:lvl>
    <w:lvl w:ilvl="1">
      <w:start w:val="1"/>
      <w:numFmt w:val="decimal"/>
      <w:lvlText w:val="%2."/>
      <w:lvlJc w:val="left"/>
      <w:pPr>
        <w:tabs>
          <w:tab w:val="num" w:pos="1800"/>
        </w:tabs>
        <w:ind w:left="0" w:firstLine="1440"/>
      </w:pPr>
    </w:lvl>
    <w:lvl w:ilvl="2">
      <w:start w:val="1"/>
      <w:numFmt w:val="lowerLetter"/>
      <w:lvlText w:val="(%3)"/>
      <w:lvlJc w:val="left"/>
      <w:pPr>
        <w:tabs>
          <w:tab w:val="num" w:pos="1800"/>
        </w:tabs>
        <w:ind w:left="0" w:firstLine="1440"/>
      </w:pPr>
    </w:lvl>
    <w:lvl w:ilvl="3">
      <w:start w:val="1"/>
      <w:numFmt w:val="lowerRoman"/>
      <w:lvlText w:val="(%4)"/>
      <w:lvlJc w:val="left"/>
      <w:pPr>
        <w:tabs>
          <w:tab w:val="num" w:pos="2160"/>
        </w:tabs>
        <w:ind w:left="0" w:firstLine="1440"/>
      </w:pPr>
    </w:lvl>
    <w:lvl w:ilvl="4">
      <w:start w:val="1"/>
      <w:numFmt w:val="upperLetter"/>
      <w:lvlText w:val="(%5)"/>
      <w:lvlJc w:val="left"/>
      <w:pPr>
        <w:tabs>
          <w:tab w:val="num" w:pos="1800"/>
        </w:tabs>
        <w:ind w:left="0" w:firstLine="1440"/>
      </w:pPr>
    </w:lvl>
    <w:lvl w:ilvl="5">
      <w:start w:val="1"/>
      <w:numFmt w:val="decimal"/>
      <w:lvlText w:val="(%6)"/>
      <w:lvlJc w:val="left"/>
      <w:pPr>
        <w:tabs>
          <w:tab w:val="num" w:pos="1800"/>
        </w:tabs>
        <w:ind w:left="0" w:firstLine="1440"/>
      </w:pPr>
    </w:lvl>
    <w:lvl w:ilvl="6">
      <w:start w:val="1"/>
      <w:numFmt w:val="lowerLetter"/>
      <w:lvlText w:val="%7."/>
      <w:lvlJc w:val="left"/>
      <w:pPr>
        <w:tabs>
          <w:tab w:val="num" w:pos="1800"/>
        </w:tabs>
        <w:ind w:left="0" w:firstLine="1440"/>
      </w:pPr>
    </w:lvl>
    <w:lvl w:ilvl="7">
      <w:start w:val="1"/>
      <w:numFmt w:val="lowerRoman"/>
      <w:lvlText w:val="%8."/>
      <w:lvlJc w:val="left"/>
      <w:pPr>
        <w:tabs>
          <w:tab w:val="num" w:pos="2160"/>
        </w:tabs>
        <w:ind w:left="0" w:firstLine="1440"/>
      </w:pPr>
    </w:lvl>
    <w:lvl w:ilvl="8">
      <w:start w:val="1"/>
      <w:numFmt w:val="upperLetter"/>
      <w:lvlText w:val="%9."/>
      <w:lvlJc w:val="left"/>
      <w:pPr>
        <w:tabs>
          <w:tab w:val="num" w:pos="1800"/>
        </w:tabs>
        <w:ind w:left="0" w:firstLine="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1C"/>
    <w:rsid w:val="00000762"/>
    <w:rsid w:val="00003511"/>
    <w:rsid w:val="00042DC6"/>
    <w:rsid w:val="000B66EE"/>
    <w:rsid w:val="000C52A8"/>
    <w:rsid w:val="000E1D92"/>
    <w:rsid w:val="000E7523"/>
    <w:rsid w:val="000F3892"/>
    <w:rsid w:val="00115D9F"/>
    <w:rsid w:val="00127FE9"/>
    <w:rsid w:val="00167090"/>
    <w:rsid w:val="001A1DE1"/>
    <w:rsid w:val="001C2612"/>
    <w:rsid w:val="001D5FDB"/>
    <w:rsid w:val="002367E2"/>
    <w:rsid w:val="00281397"/>
    <w:rsid w:val="00283E02"/>
    <w:rsid w:val="002B1F8E"/>
    <w:rsid w:val="002B56F4"/>
    <w:rsid w:val="002D190A"/>
    <w:rsid w:val="002F338B"/>
    <w:rsid w:val="00303702"/>
    <w:rsid w:val="0033278C"/>
    <w:rsid w:val="00357C8A"/>
    <w:rsid w:val="0036069F"/>
    <w:rsid w:val="00385B49"/>
    <w:rsid w:val="003A33FE"/>
    <w:rsid w:val="003C09E1"/>
    <w:rsid w:val="003C2358"/>
    <w:rsid w:val="003D32A8"/>
    <w:rsid w:val="003D7DD9"/>
    <w:rsid w:val="00400A96"/>
    <w:rsid w:val="0041376E"/>
    <w:rsid w:val="004A3F5F"/>
    <w:rsid w:val="004D2711"/>
    <w:rsid w:val="005163A7"/>
    <w:rsid w:val="0054267F"/>
    <w:rsid w:val="005756EB"/>
    <w:rsid w:val="00595C9D"/>
    <w:rsid w:val="005C1F01"/>
    <w:rsid w:val="00600E47"/>
    <w:rsid w:val="00625308"/>
    <w:rsid w:val="006345D7"/>
    <w:rsid w:val="006A6316"/>
    <w:rsid w:val="006B59D5"/>
    <w:rsid w:val="006C4FE2"/>
    <w:rsid w:val="006C5AEF"/>
    <w:rsid w:val="006D0AA8"/>
    <w:rsid w:val="006E1890"/>
    <w:rsid w:val="006E4E02"/>
    <w:rsid w:val="007465AB"/>
    <w:rsid w:val="0074789A"/>
    <w:rsid w:val="00753D74"/>
    <w:rsid w:val="0075643E"/>
    <w:rsid w:val="00781D80"/>
    <w:rsid w:val="007829C6"/>
    <w:rsid w:val="00792D07"/>
    <w:rsid w:val="007C4C57"/>
    <w:rsid w:val="007C6BD8"/>
    <w:rsid w:val="007F2CF4"/>
    <w:rsid w:val="00840DB6"/>
    <w:rsid w:val="008703EF"/>
    <w:rsid w:val="00873FB9"/>
    <w:rsid w:val="008A75CE"/>
    <w:rsid w:val="008B1491"/>
    <w:rsid w:val="008C14CA"/>
    <w:rsid w:val="008C52D8"/>
    <w:rsid w:val="008D365B"/>
    <w:rsid w:val="008D6ED1"/>
    <w:rsid w:val="008D7872"/>
    <w:rsid w:val="0090445C"/>
    <w:rsid w:val="0092203A"/>
    <w:rsid w:val="0093264A"/>
    <w:rsid w:val="00977BD0"/>
    <w:rsid w:val="009946A9"/>
    <w:rsid w:val="0099641A"/>
    <w:rsid w:val="009C1A7E"/>
    <w:rsid w:val="009C5B01"/>
    <w:rsid w:val="009D0C6F"/>
    <w:rsid w:val="009D2EFE"/>
    <w:rsid w:val="009D56D2"/>
    <w:rsid w:val="009D6007"/>
    <w:rsid w:val="00A36346"/>
    <w:rsid w:val="00A37158"/>
    <w:rsid w:val="00A81AFE"/>
    <w:rsid w:val="00A8330C"/>
    <w:rsid w:val="00AA041D"/>
    <w:rsid w:val="00AA287A"/>
    <w:rsid w:val="00AB3428"/>
    <w:rsid w:val="00B3492E"/>
    <w:rsid w:val="00B428B7"/>
    <w:rsid w:val="00B546C1"/>
    <w:rsid w:val="00B72A29"/>
    <w:rsid w:val="00B75D53"/>
    <w:rsid w:val="00B902EC"/>
    <w:rsid w:val="00B90EF3"/>
    <w:rsid w:val="00BA750B"/>
    <w:rsid w:val="00BB3F52"/>
    <w:rsid w:val="00BD769F"/>
    <w:rsid w:val="00BE1BE6"/>
    <w:rsid w:val="00BF611A"/>
    <w:rsid w:val="00C0205B"/>
    <w:rsid w:val="00C05C9A"/>
    <w:rsid w:val="00C13641"/>
    <w:rsid w:val="00C4689C"/>
    <w:rsid w:val="00C967D8"/>
    <w:rsid w:val="00C96ED3"/>
    <w:rsid w:val="00CA189A"/>
    <w:rsid w:val="00CE0F5D"/>
    <w:rsid w:val="00D133A2"/>
    <w:rsid w:val="00D14659"/>
    <w:rsid w:val="00D32CCE"/>
    <w:rsid w:val="00D522C4"/>
    <w:rsid w:val="00D655AF"/>
    <w:rsid w:val="00DA1E68"/>
    <w:rsid w:val="00DB0286"/>
    <w:rsid w:val="00DB1E28"/>
    <w:rsid w:val="00DB423C"/>
    <w:rsid w:val="00DC7882"/>
    <w:rsid w:val="00DD4642"/>
    <w:rsid w:val="00E00889"/>
    <w:rsid w:val="00E00B45"/>
    <w:rsid w:val="00E23B96"/>
    <w:rsid w:val="00E4201C"/>
    <w:rsid w:val="00E519FE"/>
    <w:rsid w:val="00E642E2"/>
    <w:rsid w:val="00E913FC"/>
    <w:rsid w:val="00EE5056"/>
    <w:rsid w:val="00F038A3"/>
    <w:rsid w:val="00F07872"/>
    <w:rsid w:val="00F27B33"/>
    <w:rsid w:val="00FE1226"/>
    <w:rsid w:val="00FE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10A15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tabs>
        <w:tab w:val="left" w:pos="360"/>
        <w:tab w:val="left" w:pos="720"/>
        <w:tab w:val="left" w:pos="1080"/>
        <w:tab w:val="left" w:pos="1440"/>
        <w:tab w:val="left" w:pos="1800"/>
        <w:tab w:val="left" w:pos="216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angingIndent1">
    <w:name w:val="Normal (Hanging Indent 1)"/>
    <w:basedOn w:val="Normal"/>
    <w:next w:val="Normal"/>
    <w:pPr>
      <w:overflowPunct/>
      <w:autoSpaceDE/>
      <w:autoSpaceDN/>
      <w:adjustRightInd/>
      <w:spacing w:after="240"/>
      <w:ind w:left="720" w:hanging="720"/>
      <w:jc w:val="both"/>
      <w:textAlignment w:val="auto"/>
    </w:pPr>
    <w:rPr>
      <w:sz w:val="24"/>
      <w:szCs w:val="24"/>
    </w:rPr>
  </w:style>
  <w:style w:type="paragraph" w:customStyle="1" w:styleId="NormalHangingIndent2">
    <w:name w:val="Normal (Hanging Indent 2)"/>
    <w:basedOn w:val="Normal"/>
    <w:next w:val="Normal"/>
    <w:pPr>
      <w:overflowPunct/>
      <w:autoSpaceDE/>
      <w:autoSpaceDN/>
      <w:adjustRightInd/>
      <w:spacing w:after="240"/>
      <w:ind w:left="1440" w:hanging="720"/>
      <w:jc w:val="both"/>
      <w:textAlignment w:val="auto"/>
    </w:pPr>
    <w:rPr>
      <w:sz w:val="24"/>
      <w:szCs w:val="24"/>
    </w:rPr>
  </w:style>
  <w:style w:type="paragraph" w:customStyle="1" w:styleId="NormalHangingIndent3">
    <w:name w:val="Normal (Hanging Indent 3)"/>
    <w:basedOn w:val="Normal"/>
    <w:next w:val="Normal"/>
    <w:pPr>
      <w:overflowPunct/>
      <w:autoSpaceDE/>
      <w:autoSpaceDN/>
      <w:adjustRightInd/>
      <w:spacing w:after="240"/>
      <w:ind w:left="2160" w:hanging="720"/>
      <w:jc w:val="both"/>
      <w:textAlignment w:val="auto"/>
    </w:pPr>
    <w:rPr>
      <w:sz w:val="24"/>
      <w:szCs w:val="24"/>
    </w:rPr>
  </w:style>
  <w:style w:type="paragraph" w:customStyle="1" w:styleId="NormalHangingIndent4">
    <w:name w:val="Normal (Hanging Indent 4)"/>
    <w:basedOn w:val="Normal"/>
    <w:next w:val="Normal"/>
    <w:pPr>
      <w:overflowPunct/>
      <w:autoSpaceDE/>
      <w:autoSpaceDN/>
      <w:adjustRightInd/>
      <w:spacing w:after="240"/>
      <w:ind w:left="2880" w:hanging="720"/>
      <w:jc w:val="both"/>
      <w:textAlignment w:val="auto"/>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verPageLoanNumberandName">
    <w:name w:val="Cover Page (Loan Number and Name)"/>
    <w:basedOn w:val="Normal"/>
    <w:pPr>
      <w:overflowPunct/>
      <w:autoSpaceDE/>
      <w:autoSpaceDN/>
      <w:adjustRightInd/>
      <w:spacing w:after="240"/>
      <w:jc w:val="both"/>
      <w:textAlignment w:val="auto"/>
    </w:pPr>
    <w:rPr>
      <w:sz w:val="24"/>
      <w:szCs w:val="24"/>
    </w:rPr>
  </w:style>
  <w:style w:type="paragraph" w:styleId="BalloonText">
    <w:name w:val="Balloon Text"/>
    <w:basedOn w:val="Normal"/>
    <w:semiHidden/>
    <w:rPr>
      <w:rFonts w:ascii="Tahoma" w:hAnsi="Tahoma" w:cs="Tahoma"/>
      <w:sz w:val="16"/>
      <w:szCs w:val="16"/>
    </w:rPr>
  </w:style>
  <w:style w:type="paragraph" w:customStyle="1" w:styleId="Scheme11L1">
    <w:name w:val="Scheme11_L1"/>
    <w:basedOn w:val="Normal"/>
    <w:next w:val="Scheme11L8"/>
    <w:pPr>
      <w:numPr>
        <w:numId w:val="1"/>
      </w:numPr>
      <w:overflowPunct/>
      <w:autoSpaceDE/>
      <w:autoSpaceDN/>
      <w:adjustRightInd/>
      <w:spacing w:after="240"/>
      <w:jc w:val="both"/>
      <w:textAlignment w:val="auto"/>
      <w:outlineLvl w:val="0"/>
    </w:pPr>
    <w:rPr>
      <w:sz w:val="24"/>
    </w:rPr>
  </w:style>
  <w:style w:type="paragraph" w:customStyle="1" w:styleId="Scheme11L2">
    <w:name w:val="Scheme11_L2"/>
    <w:basedOn w:val="Scheme11L1"/>
    <w:next w:val="BodyText"/>
    <w:pPr>
      <w:numPr>
        <w:ilvl w:val="1"/>
      </w:numPr>
      <w:outlineLvl w:val="1"/>
    </w:pPr>
    <w:rPr>
      <w:bCs/>
    </w:rPr>
  </w:style>
  <w:style w:type="paragraph" w:customStyle="1" w:styleId="Scheme11L3">
    <w:name w:val="Scheme11_L3"/>
    <w:basedOn w:val="Scheme11L2"/>
    <w:next w:val="BodyText"/>
    <w:pPr>
      <w:numPr>
        <w:ilvl w:val="2"/>
      </w:numPr>
      <w:outlineLvl w:val="2"/>
    </w:pPr>
  </w:style>
  <w:style w:type="paragraph" w:customStyle="1" w:styleId="Scheme11L4">
    <w:name w:val="Scheme11_L4"/>
    <w:basedOn w:val="Scheme11L3"/>
    <w:next w:val="BodyText"/>
    <w:pPr>
      <w:numPr>
        <w:ilvl w:val="3"/>
      </w:numPr>
      <w:outlineLvl w:val="3"/>
    </w:pPr>
  </w:style>
  <w:style w:type="paragraph" w:customStyle="1" w:styleId="Scheme11L5">
    <w:name w:val="Scheme11_L5"/>
    <w:basedOn w:val="Scheme11L4"/>
    <w:next w:val="BodyText"/>
    <w:pPr>
      <w:numPr>
        <w:ilvl w:val="4"/>
      </w:numPr>
      <w:outlineLvl w:val="4"/>
    </w:pPr>
  </w:style>
  <w:style w:type="paragraph" w:customStyle="1" w:styleId="Scheme11L6">
    <w:name w:val="Scheme11_L6"/>
    <w:basedOn w:val="Scheme11L5"/>
    <w:next w:val="BodyText"/>
    <w:pPr>
      <w:numPr>
        <w:ilvl w:val="5"/>
      </w:numPr>
      <w:jc w:val="left"/>
      <w:outlineLvl w:val="5"/>
    </w:pPr>
  </w:style>
  <w:style w:type="paragraph" w:customStyle="1" w:styleId="Scheme11L7">
    <w:name w:val="Scheme11_L7"/>
    <w:basedOn w:val="Scheme11L6"/>
    <w:next w:val="BodyText"/>
    <w:pPr>
      <w:numPr>
        <w:ilvl w:val="6"/>
      </w:numPr>
      <w:outlineLvl w:val="6"/>
    </w:pPr>
  </w:style>
  <w:style w:type="paragraph" w:customStyle="1" w:styleId="Scheme11L8">
    <w:name w:val="Scheme11_L8"/>
    <w:basedOn w:val="Scheme11L7"/>
    <w:next w:val="BodyText"/>
    <w:pPr>
      <w:numPr>
        <w:ilvl w:val="7"/>
      </w:numPr>
      <w:outlineLvl w:val="7"/>
    </w:pPr>
  </w:style>
  <w:style w:type="paragraph" w:customStyle="1" w:styleId="Scheme11L9">
    <w:name w:val="Scheme11_L9"/>
    <w:basedOn w:val="Scheme11L8"/>
    <w:next w:val="BodyText"/>
    <w:pPr>
      <w:numPr>
        <w:ilvl w:val="8"/>
      </w:numPr>
      <w:outlineLvl w:val="8"/>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character" w:customStyle="1" w:styleId="Heading2Char">
    <w:name w:val="Heading 2 Char"/>
    <w:link w:val="Heading2"/>
    <w:rPr>
      <w:b/>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ing1Char">
    <w:name w:val="Heading 1 Char"/>
    <w:link w:val="Heading1"/>
    <w:rPr>
      <w:rFonts w:ascii="Cambria" w:eastAsia="Times New Roman" w:hAnsi="Cambria" w:cs="Times New Roman"/>
      <w:b/>
      <w:bCs/>
      <w:kern w:val="32"/>
      <w:sz w:val="32"/>
      <w:szCs w:val="32"/>
    </w:rPr>
  </w:style>
  <w:style w:type="paragraph" w:customStyle="1" w:styleId="ExDStdProvsNormal">
    <w:name w:val="ExDStdProvsNormal"/>
    <w:rsid w:val="007564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855584">
      <w:bodyDiv w:val="1"/>
      <w:marLeft w:val="0"/>
      <w:marRight w:val="0"/>
      <w:marTop w:val="0"/>
      <w:marBottom w:val="0"/>
      <w:divBdr>
        <w:top w:val="none" w:sz="0" w:space="0" w:color="auto"/>
        <w:left w:val="none" w:sz="0" w:space="0" w:color="auto"/>
        <w:bottom w:val="none" w:sz="0" w:space="0" w:color="auto"/>
        <w:right w:val="none" w:sz="0" w:space="0" w:color="auto"/>
      </w:divBdr>
    </w:div>
    <w:div w:id="1434014302">
      <w:bodyDiv w:val="1"/>
      <w:marLeft w:val="0"/>
      <w:marRight w:val="0"/>
      <w:marTop w:val="0"/>
      <w:marBottom w:val="0"/>
      <w:divBdr>
        <w:top w:val="none" w:sz="0" w:space="0" w:color="auto"/>
        <w:left w:val="none" w:sz="0" w:space="0" w:color="auto"/>
        <w:bottom w:val="none" w:sz="0" w:space="0" w:color="auto"/>
        <w:right w:val="none" w:sz="0" w:space="0" w:color="auto"/>
      </w:divBdr>
    </w:div>
    <w:div w:id="20506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1879</Characters>
  <Application>Microsoft Office Word</Application>
  <DocSecurity>0</DocSecurity>
  <PresentationFormat>11|.DOC</PresentationFormat>
  <Lines>43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2022-04-21T16:27:00Z</dcterms:created>
  <dcterms:modified xsi:type="dcterms:W3CDTF">2022-06-02T14:48:00Z</dcterms:modified>
</cp:coreProperties>
</file>