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3CCA" w14:textId="0B010FCB" w:rsidR="000A1DF9" w:rsidRPr="00EF4032" w:rsidRDefault="000A1DF9" w:rsidP="00EF4032">
      <w:pPr>
        <w:jc w:val="center"/>
        <w:rPr>
          <w:rFonts w:cs="Arial"/>
          <w:b/>
          <w:sz w:val="24"/>
          <w:szCs w:val="24"/>
        </w:rPr>
      </w:pPr>
      <w:r w:rsidRPr="00EF4032">
        <w:rPr>
          <w:rFonts w:cs="Arial"/>
          <w:b/>
          <w:sz w:val="24"/>
          <w:szCs w:val="24"/>
        </w:rPr>
        <w:t xml:space="preserve">Rider to </w:t>
      </w:r>
      <w:r w:rsidR="00D92550" w:rsidRPr="00EF4032">
        <w:rPr>
          <w:rFonts w:cs="Arial"/>
          <w:b/>
          <w:sz w:val="24"/>
          <w:szCs w:val="24"/>
        </w:rPr>
        <w:t>Loan Agreement</w:t>
      </w:r>
    </w:p>
    <w:p w14:paraId="541B2C03" w14:textId="77777777" w:rsidR="008A1CB5" w:rsidRPr="00EF4032" w:rsidRDefault="008A1CB5" w:rsidP="00EF4032">
      <w:pPr>
        <w:shd w:val="clear" w:color="auto" w:fill="FFFFFF"/>
        <w:tabs>
          <w:tab w:val="left" w:pos="360"/>
          <w:tab w:val="left" w:pos="720"/>
          <w:tab w:val="left" w:pos="1080"/>
          <w:tab w:val="left" w:pos="1440"/>
        </w:tabs>
        <w:jc w:val="center"/>
        <w:rPr>
          <w:b/>
          <w:sz w:val="24"/>
          <w:szCs w:val="24"/>
        </w:rPr>
      </w:pPr>
      <w:r w:rsidRPr="00EF4032">
        <w:rPr>
          <w:b/>
          <w:sz w:val="24"/>
          <w:szCs w:val="24"/>
        </w:rPr>
        <w:t>Reverse Tax-Deferred Exchange</w:t>
      </w:r>
    </w:p>
    <w:p w14:paraId="432E2D42" w14:textId="368B2C4A" w:rsidR="008A1CB5" w:rsidRPr="00EF4032" w:rsidRDefault="008A1CB5" w:rsidP="00EF4032">
      <w:pPr>
        <w:shd w:val="clear" w:color="auto" w:fill="FFFFFF"/>
        <w:tabs>
          <w:tab w:val="left" w:pos="360"/>
          <w:tab w:val="left" w:pos="720"/>
          <w:tab w:val="left" w:pos="1080"/>
          <w:tab w:val="left" w:pos="1440"/>
        </w:tabs>
        <w:jc w:val="center"/>
        <w:rPr>
          <w:bCs/>
        </w:rPr>
      </w:pPr>
      <w:r w:rsidRPr="00EF4032">
        <w:rPr>
          <w:bCs/>
        </w:rPr>
        <w:t xml:space="preserve">(Revised </w:t>
      </w:r>
      <w:r w:rsidR="00074B9B">
        <w:rPr>
          <w:bCs/>
        </w:rPr>
        <w:t>6</w:t>
      </w:r>
      <w:r w:rsidR="00074B9B" w:rsidRPr="00EF4032">
        <w:rPr>
          <w:bCs/>
        </w:rPr>
        <w:t>-</w:t>
      </w:r>
      <w:r w:rsidR="00074B9B">
        <w:rPr>
          <w:bCs/>
        </w:rPr>
        <w:t>14</w:t>
      </w:r>
      <w:r w:rsidR="00074B9B" w:rsidRPr="00EF4032">
        <w:rPr>
          <w:bCs/>
        </w:rPr>
        <w:t>-</w:t>
      </w:r>
      <w:r w:rsidRPr="00EF4032">
        <w:rPr>
          <w:bCs/>
        </w:rPr>
        <w:t>2022)</w:t>
      </w:r>
    </w:p>
    <w:p w14:paraId="23CBE3BA" w14:textId="257C8F7C" w:rsidR="000A1DF9" w:rsidRDefault="000A1DF9" w:rsidP="008A1CB5">
      <w:pPr>
        <w:shd w:val="clear" w:color="auto" w:fill="FFFFFF"/>
        <w:rPr>
          <w:bCs/>
        </w:rPr>
      </w:pPr>
    </w:p>
    <w:p w14:paraId="36995EBD" w14:textId="77777777" w:rsidR="008845B6" w:rsidRDefault="008845B6" w:rsidP="008A1CB5">
      <w:pPr>
        <w:shd w:val="clear" w:color="auto" w:fill="FFFFFF"/>
        <w:rPr>
          <w:bCs/>
        </w:rPr>
      </w:pPr>
    </w:p>
    <w:p w14:paraId="23208EB7" w14:textId="093F43AA" w:rsidR="00AB34C1" w:rsidRPr="008A1CB5" w:rsidRDefault="00AB34C1" w:rsidP="00AB34C1">
      <w:pPr>
        <w:tabs>
          <w:tab w:val="left" w:pos="-1440"/>
          <w:tab w:val="left" w:pos="-720"/>
          <w:tab w:val="left" w:pos="2880"/>
          <w:tab w:val="left" w:pos="3600"/>
          <w:tab w:val="left" w:pos="4320"/>
          <w:tab w:val="left" w:pos="5040"/>
          <w:tab w:val="left" w:pos="5760"/>
          <w:tab w:val="left" w:pos="6340"/>
          <w:tab w:val="left" w:pos="6480"/>
        </w:tabs>
        <w:suppressAutoHyphens/>
        <w:rPr>
          <w:rFonts w:cs="Arial"/>
        </w:rPr>
      </w:pPr>
      <w:bookmarkStart w:id="0" w:name="_Hlk83983832"/>
      <w:r w:rsidRPr="008A1CB5">
        <w:rPr>
          <w:rFonts w:cs="Arial"/>
        </w:rPr>
        <w:t xml:space="preserve">The following changes are made to the Loan Agreement </w:t>
      </w:r>
      <w:r w:rsidR="003C341A">
        <w:rPr>
          <w:rFonts w:cs="Arial"/>
        </w:rPr>
        <w:t>that</w:t>
      </w:r>
      <w:r w:rsidR="003C341A" w:rsidRPr="008A1CB5">
        <w:rPr>
          <w:rFonts w:cs="Arial"/>
        </w:rPr>
        <w:t xml:space="preserve"> </w:t>
      </w:r>
      <w:r w:rsidRPr="008A1CB5">
        <w:rPr>
          <w:rFonts w:cs="Arial"/>
        </w:rPr>
        <w:t>precedes this Rider:</w:t>
      </w:r>
    </w:p>
    <w:p w14:paraId="09191AAA" w14:textId="175532E6" w:rsidR="00AB34C1" w:rsidRDefault="00AB34C1" w:rsidP="0034321A">
      <w:pPr>
        <w:shd w:val="clear" w:color="auto" w:fill="FFFFFF"/>
        <w:tabs>
          <w:tab w:val="left" w:pos="720"/>
          <w:tab w:val="left" w:pos="1080"/>
          <w:tab w:val="left" w:pos="1440"/>
        </w:tabs>
        <w:rPr>
          <w:rFonts w:cs="Arial"/>
        </w:rPr>
      </w:pPr>
    </w:p>
    <w:p w14:paraId="3A8E61C5" w14:textId="77777777" w:rsidR="00074B9B" w:rsidRDefault="00074B9B" w:rsidP="0034321A">
      <w:pPr>
        <w:shd w:val="clear" w:color="auto" w:fill="FFFFFF"/>
        <w:tabs>
          <w:tab w:val="left" w:pos="720"/>
          <w:tab w:val="left" w:pos="1080"/>
          <w:tab w:val="left" w:pos="1440"/>
        </w:tabs>
        <w:rPr>
          <w:rFonts w:cs="Arial"/>
        </w:rPr>
      </w:pPr>
    </w:p>
    <w:p w14:paraId="1F3786DE" w14:textId="5B139564" w:rsidR="0034321A" w:rsidRPr="00051876" w:rsidRDefault="00282905" w:rsidP="0034321A">
      <w:pPr>
        <w:shd w:val="clear" w:color="auto" w:fill="FFFFFF"/>
        <w:tabs>
          <w:tab w:val="left" w:pos="720"/>
          <w:tab w:val="left" w:pos="1080"/>
          <w:tab w:val="left" w:pos="1440"/>
        </w:tabs>
        <w:rPr>
          <w:rFonts w:cs="Arial"/>
        </w:rPr>
      </w:pPr>
      <w:r>
        <w:rPr>
          <w:rFonts w:cs="Arial"/>
        </w:rPr>
        <w:t xml:space="preserve">A. </w:t>
      </w:r>
      <w:r>
        <w:rPr>
          <w:rFonts w:cs="Arial"/>
        </w:rPr>
        <w:tab/>
      </w:r>
      <w:r w:rsidR="0034321A" w:rsidRPr="00051876">
        <w:rPr>
          <w:rFonts w:cs="Arial"/>
        </w:rPr>
        <w:t xml:space="preserve">The following table is added to </w:t>
      </w:r>
      <w:r w:rsidR="003C341A">
        <w:rPr>
          <w:rFonts w:cs="Arial"/>
        </w:rPr>
        <w:t>Section 1.05</w:t>
      </w:r>
      <w:r w:rsidR="0034321A" w:rsidRPr="00051876">
        <w:rPr>
          <w:rFonts w:cs="Arial"/>
        </w:rPr>
        <w:t>:</w:t>
      </w:r>
    </w:p>
    <w:p w14:paraId="303DBD94" w14:textId="77777777" w:rsidR="0034321A" w:rsidRPr="00051876" w:rsidRDefault="0034321A" w:rsidP="0034321A">
      <w:pPr>
        <w:pStyle w:val="ListParagraph"/>
        <w:ind w:left="810"/>
        <w:rPr>
          <w:rFonts w:cs="Arial"/>
          <w:sz w:val="22"/>
          <w:szCs w:val="22"/>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50"/>
        <w:gridCol w:w="7475"/>
      </w:tblGrid>
      <w:tr w:rsidR="0034321A" w14:paraId="1FD913C7" w14:textId="77777777" w:rsidTr="009509BD">
        <w:trPr>
          <w:trHeight w:val="233"/>
        </w:trPr>
        <w:tc>
          <w:tcPr>
            <w:tcW w:w="1026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4B9EA2D1" w14:textId="2ACE240C" w:rsidR="0034321A" w:rsidRDefault="00282905" w:rsidP="009509BD">
            <w:pPr>
              <w:spacing w:before="20" w:after="20"/>
              <w:rPr>
                <w:rFonts w:cs="Arial"/>
                <w:b/>
              </w:rPr>
            </w:pPr>
            <w:r>
              <w:rPr>
                <w:rFonts w:cs="Arial"/>
                <w:b/>
              </w:rPr>
              <w:t>Reverse Tax-Deferred Exchange</w:t>
            </w:r>
          </w:p>
        </w:tc>
      </w:tr>
      <w:tr w:rsidR="00282905" w14:paraId="33B03545" w14:textId="77777777" w:rsidTr="00282905">
        <w:tblPrEx>
          <w:tblLook w:val="0000" w:firstRow="0" w:lastRow="0" w:firstColumn="0" w:lastColumn="0" w:noHBand="0" w:noVBand="0"/>
        </w:tblPrEx>
        <w:trPr>
          <w:trHeight w:val="269"/>
        </w:trPr>
        <w:tc>
          <w:tcPr>
            <w:tcW w:w="2790" w:type="dxa"/>
            <w:gridSpan w:val="2"/>
            <w:tcBorders>
              <w:bottom w:val="nil"/>
            </w:tcBorders>
            <w:shd w:val="clear" w:color="auto" w:fill="auto"/>
          </w:tcPr>
          <w:p w14:paraId="3A54E7A3" w14:textId="3EB004D3" w:rsidR="00282905" w:rsidRDefault="00282905" w:rsidP="00387E97">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 xml:space="preserve">Exchange Termination Date: </w:t>
            </w:r>
          </w:p>
        </w:tc>
        <w:tc>
          <w:tcPr>
            <w:tcW w:w="7475" w:type="dxa"/>
            <w:tcBorders>
              <w:bottom w:val="nil"/>
            </w:tcBorders>
            <w:shd w:val="clear" w:color="auto" w:fill="auto"/>
          </w:tcPr>
          <w:p w14:paraId="4B6D1AF6" w14:textId="01B5EE12" w:rsidR="00282905" w:rsidRDefault="00282905" w:rsidP="00387E97">
            <w:pPr>
              <w:pStyle w:val="CoverPageLoanNumberandName"/>
              <w:spacing w:before="40" w:after="40"/>
              <w:jc w:val="left"/>
              <w:rPr>
                <w:rFonts w:ascii="Arial" w:eastAsia="MS Gothic" w:hAnsi="Arial" w:cs="Arial"/>
                <w:sz w:val="20"/>
                <w:szCs w:val="20"/>
              </w:rPr>
            </w:pPr>
            <w:r>
              <w:rPr>
                <w:rFonts w:ascii="Arial" w:eastAsia="MS Gothic" w:hAnsi="Arial" w:cs="Arial"/>
                <w:bCs/>
                <w:sz w:val="20"/>
                <w:szCs w:val="20"/>
              </w:rPr>
              <w:t>180 days after the Effective Date</w:t>
            </w:r>
          </w:p>
        </w:tc>
      </w:tr>
      <w:tr w:rsidR="00282905" w14:paraId="60A3FC29" w14:textId="77777777" w:rsidTr="00282905">
        <w:tblPrEx>
          <w:tblLook w:val="0000" w:firstRow="0" w:lastRow="0" w:firstColumn="0" w:lastColumn="0" w:noHBand="0" w:noVBand="0"/>
        </w:tblPrEx>
        <w:trPr>
          <w:trHeight w:val="269"/>
        </w:trPr>
        <w:tc>
          <w:tcPr>
            <w:tcW w:w="2790" w:type="dxa"/>
            <w:gridSpan w:val="2"/>
            <w:tcBorders>
              <w:bottom w:val="nil"/>
            </w:tcBorders>
            <w:shd w:val="clear" w:color="auto" w:fill="auto"/>
          </w:tcPr>
          <w:p w14:paraId="12580651" w14:textId="12EFE06E" w:rsidR="00282905" w:rsidRDefault="00282905" w:rsidP="00387E97">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 xml:space="preserve">Exchange Owner: </w:t>
            </w:r>
          </w:p>
        </w:tc>
        <w:tc>
          <w:tcPr>
            <w:tcW w:w="7475" w:type="dxa"/>
            <w:tcBorders>
              <w:bottom w:val="nil"/>
            </w:tcBorders>
            <w:shd w:val="clear" w:color="auto" w:fill="auto"/>
          </w:tcPr>
          <w:p w14:paraId="1F42CC4A" w14:textId="6173BDC3" w:rsidR="00282905" w:rsidRDefault="00282905" w:rsidP="00387E97">
            <w:pPr>
              <w:pStyle w:val="CoverPageLoanNumberandName"/>
              <w:spacing w:before="40" w:after="40"/>
              <w:jc w:val="left"/>
              <w:rPr>
                <w:rFonts w:ascii="Arial" w:eastAsia="MS Gothic" w:hAnsi="Arial" w:cs="Arial"/>
                <w:sz w:val="20"/>
                <w:szCs w:val="20"/>
              </w:rPr>
            </w:pPr>
          </w:p>
        </w:tc>
      </w:tr>
      <w:tr w:rsidR="00282905" w14:paraId="77B64E97" w14:textId="77777777" w:rsidTr="00282905">
        <w:tblPrEx>
          <w:tblLook w:val="0000" w:firstRow="0" w:lastRow="0" w:firstColumn="0" w:lastColumn="0" w:noHBand="0" w:noVBand="0"/>
        </w:tblPrEx>
        <w:trPr>
          <w:trHeight w:val="269"/>
        </w:trPr>
        <w:tc>
          <w:tcPr>
            <w:tcW w:w="2790" w:type="dxa"/>
            <w:gridSpan w:val="2"/>
            <w:tcBorders>
              <w:bottom w:val="single" w:sz="4" w:space="0" w:color="auto"/>
            </w:tcBorders>
            <w:shd w:val="clear" w:color="auto" w:fill="auto"/>
          </w:tcPr>
          <w:p w14:paraId="2D27BCBF" w14:textId="4D2972EB" w:rsidR="00282905" w:rsidRDefault="00282905" w:rsidP="00387E97">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 xml:space="preserve">Exchange Owner Affiliate: </w:t>
            </w:r>
          </w:p>
        </w:tc>
        <w:tc>
          <w:tcPr>
            <w:tcW w:w="7475" w:type="dxa"/>
            <w:tcBorders>
              <w:bottom w:val="single" w:sz="4" w:space="0" w:color="auto"/>
            </w:tcBorders>
            <w:shd w:val="clear" w:color="auto" w:fill="auto"/>
          </w:tcPr>
          <w:p w14:paraId="639F7772" w14:textId="3043D648" w:rsidR="00282905" w:rsidRDefault="00282905" w:rsidP="00387E97">
            <w:pPr>
              <w:pStyle w:val="CoverPageLoanNumberandName"/>
              <w:spacing w:before="40" w:after="40"/>
              <w:jc w:val="left"/>
              <w:rPr>
                <w:rFonts w:ascii="Arial" w:eastAsia="MS Gothic" w:hAnsi="Arial" w:cs="Arial"/>
                <w:sz w:val="20"/>
                <w:szCs w:val="20"/>
              </w:rPr>
            </w:pPr>
          </w:p>
        </w:tc>
      </w:tr>
      <w:tr w:rsidR="00282905" w14:paraId="1D7B8144" w14:textId="77777777" w:rsidTr="00282905">
        <w:tblPrEx>
          <w:tblLook w:val="0000" w:firstRow="0" w:lastRow="0" w:firstColumn="0" w:lastColumn="0" w:noHBand="0" w:noVBand="0"/>
        </w:tblPrEx>
        <w:trPr>
          <w:trHeight w:val="269"/>
        </w:trPr>
        <w:tc>
          <w:tcPr>
            <w:tcW w:w="2790" w:type="dxa"/>
            <w:gridSpan w:val="2"/>
            <w:tcBorders>
              <w:bottom w:val="single" w:sz="4" w:space="0" w:color="auto"/>
            </w:tcBorders>
            <w:shd w:val="clear" w:color="auto" w:fill="auto"/>
          </w:tcPr>
          <w:p w14:paraId="2AC17F0A" w14:textId="124D05DB" w:rsidR="00282905" w:rsidRDefault="00282905" w:rsidP="00387E97">
            <w:pPr>
              <w:pStyle w:val="CoverPageLoanNumberandName"/>
              <w:spacing w:before="40" w:after="40"/>
              <w:jc w:val="left"/>
              <w:rPr>
                <w:rFonts w:ascii="Arial" w:eastAsia="MS Gothic" w:hAnsi="Arial" w:cs="Arial"/>
                <w:sz w:val="20"/>
                <w:szCs w:val="20"/>
              </w:rPr>
            </w:pPr>
            <w:r>
              <w:rPr>
                <w:rFonts w:ascii="Arial" w:eastAsia="MS Gothic" w:hAnsi="Arial" w:cs="Arial"/>
                <w:sz w:val="20"/>
                <w:szCs w:val="20"/>
              </w:rPr>
              <w:t xml:space="preserve">Qualified Intermediary: </w:t>
            </w:r>
          </w:p>
        </w:tc>
        <w:tc>
          <w:tcPr>
            <w:tcW w:w="7475" w:type="dxa"/>
            <w:tcBorders>
              <w:bottom w:val="single" w:sz="4" w:space="0" w:color="auto"/>
            </w:tcBorders>
            <w:shd w:val="clear" w:color="auto" w:fill="auto"/>
          </w:tcPr>
          <w:p w14:paraId="015E65FE" w14:textId="358045F9" w:rsidR="00282905" w:rsidRDefault="00282905" w:rsidP="00387E97">
            <w:pPr>
              <w:pStyle w:val="CoverPageLoanNumberandName"/>
              <w:spacing w:before="40" w:after="40"/>
              <w:jc w:val="left"/>
              <w:rPr>
                <w:rFonts w:ascii="Arial" w:eastAsia="MS Gothic" w:hAnsi="Arial" w:cs="Arial"/>
                <w:sz w:val="20"/>
                <w:szCs w:val="20"/>
              </w:rPr>
            </w:pPr>
          </w:p>
        </w:tc>
      </w:tr>
      <w:tr w:rsidR="00282905" w:rsidRPr="00DB53AC" w14:paraId="7E7CE247" w14:textId="77777777" w:rsidTr="00282905">
        <w:tblPrEx>
          <w:tblLook w:val="0000" w:firstRow="0" w:lastRow="0" w:firstColumn="0" w:lastColumn="0" w:noHBand="0" w:noVBand="0"/>
        </w:tblPrEx>
        <w:trPr>
          <w:trHeight w:val="368"/>
        </w:trPr>
        <w:tc>
          <w:tcPr>
            <w:tcW w:w="10265" w:type="dxa"/>
            <w:gridSpan w:val="3"/>
            <w:tcBorders>
              <w:top w:val="single" w:sz="4" w:space="0" w:color="auto"/>
              <w:bottom w:val="single" w:sz="4" w:space="0" w:color="auto"/>
            </w:tcBorders>
            <w:shd w:val="clear" w:color="auto" w:fill="auto"/>
          </w:tcPr>
          <w:p w14:paraId="1B64A0E3" w14:textId="26659A03" w:rsidR="00282905" w:rsidRPr="00AB34C1" w:rsidRDefault="00282905" w:rsidP="00282905">
            <w:pPr>
              <w:pStyle w:val="CoverPageLoanNumberandName"/>
              <w:spacing w:before="40" w:after="40"/>
              <w:jc w:val="left"/>
              <w:rPr>
                <w:rFonts w:ascii="Arial" w:hAnsi="Arial" w:cs="Arial"/>
                <w:bCs/>
                <w:sz w:val="20"/>
                <w:szCs w:val="20"/>
              </w:rPr>
            </w:pPr>
            <w:r w:rsidRPr="00AB34C1">
              <w:rPr>
                <w:rFonts w:ascii="Arial" w:hAnsi="Arial" w:cs="Arial"/>
                <w:bCs/>
                <w:sz w:val="20"/>
                <w:szCs w:val="20"/>
              </w:rPr>
              <w:t xml:space="preserve">Exchange Interests: </w:t>
            </w:r>
            <w:r w:rsidRPr="00AB34C1">
              <w:rPr>
                <w:rFonts w:ascii="Arial" w:hAnsi="Arial" w:cs="Arial"/>
                <w:bCs/>
                <w:i/>
                <w:iCs/>
                <w:sz w:val="16"/>
                <w:szCs w:val="16"/>
              </w:rPr>
              <w:t>(choose one)</w:t>
            </w:r>
          </w:p>
        </w:tc>
      </w:tr>
      <w:tr w:rsidR="00282905" w:rsidRPr="00231380" w:rsidDel="00F46CF2" w14:paraId="4076AA60" w14:textId="77777777" w:rsidTr="00EF4032">
        <w:tblPrEx>
          <w:tblLook w:val="0000" w:firstRow="0" w:lastRow="0" w:firstColumn="0" w:lastColumn="0" w:noHBand="0" w:noVBand="0"/>
        </w:tblPrEx>
        <w:trPr>
          <w:trHeight w:val="269"/>
        </w:trPr>
        <w:tc>
          <w:tcPr>
            <w:tcW w:w="540" w:type="dxa"/>
            <w:tcBorders>
              <w:top w:val="single" w:sz="4" w:space="0" w:color="auto"/>
              <w:bottom w:val="single" w:sz="4" w:space="0" w:color="auto"/>
            </w:tcBorders>
            <w:shd w:val="clear" w:color="auto" w:fill="auto"/>
          </w:tcPr>
          <w:p w14:paraId="150B1B03" w14:textId="77777777" w:rsidR="00282905" w:rsidRPr="00231380" w:rsidDel="00F46CF2" w:rsidRDefault="004279C3" w:rsidP="00AB34C1">
            <w:pPr>
              <w:pStyle w:val="CoverPageLoanNumberandName"/>
              <w:spacing w:after="0"/>
              <w:jc w:val="left"/>
              <w:rPr>
                <w:rFonts w:ascii="Arial" w:eastAsia="MS Gothic" w:hAnsi="Arial" w:cs="Arial"/>
                <w:bCs/>
                <w:sz w:val="20"/>
                <w:szCs w:val="20"/>
              </w:rPr>
            </w:pPr>
            <w:sdt>
              <w:sdtPr>
                <w:rPr>
                  <w:rFonts w:ascii="MS Gothic" w:eastAsia="MS Gothic" w:hAnsi="MS Gothic" w:cs="Arial" w:hint="eastAsia"/>
                  <w:b/>
                  <w:sz w:val="28"/>
                  <w:szCs w:val="28"/>
                </w:rPr>
                <w:id w:val="-484622630"/>
                <w14:checkbox>
                  <w14:checked w14:val="0"/>
                  <w14:checkedState w14:val="2612" w14:font="MS Gothic"/>
                  <w14:uncheckedState w14:val="2610" w14:font="MS Gothic"/>
                </w14:checkbox>
              </w:sdtPr>
              <w:sdtEndPr/>
              <w:sdtContent>
                <w:r w:rsidR="00282905">
                  <w:rPr>
                    <w:rFonts w:ascii="MS Gothic" w:eastAsia="MS Gothic" w:hAnsi="MS Gothic" w:cs="Arial" w:hint="eastAsia"/>
                    <w:b/>
                    <w:sz w:val="28"/>
                    <w:szCs w:val="28"/>
                  </w:rPr>
                  <w:t>☐</w:t>
                </w:r>
              </w:sdtContent>
            </w:sdt>
          </w:p>
        </w:tc>
        <w:tc>
          <w:tcPr>
            <w:tcW w:w="9725" w:type="dxa"/>
            <w:gridSpan w:val="2"/>
            <w:tcBorders>
              <w:top w:val="single" w:sz="4" w:space="0" w:color="auto"/>
            </w:tcBorders>
            <w:shd w:val="clear" w:color="auto" w:fill="auto"/>
            <w:vAlign w:val="center"/>
          </w:tcPr>
          <w:p w14:paraId="6617F749" w14:textId="31BD683F" w:rsidR="00282905" w:rsidRPr="00231380" w:rsidDel="00F46CF2" w:rsidRDefault="00282905" w:rsidP="00AB34C1">
            <w:pPr>
              <w:pStyle w:val="CoverPageLoanNumberandName"/>
              <w:spacing w:after="0"/>
              <w:jc w:val="left"/>
              <w:rPr>
                <w:rFonts w:ascii="Arial" w:eastAsia="MS Gothic" w:hAnsi="Arial" w:cs="Arial"/>
                <w:bCs/>
                <w:sz w:val="20"/>
                <w:szCs w:val="20"/>
              </w:rPr>
            </w:pPr>
            <w:r w:rsidRPr="00AB34C1">
              <w:rPr>
                <w:rFonts w:ascii="Arial" w:eastAsia="MS Gothic" w:hAnsi="Arial" w:cs="Arial"/>
                <w:bCs/>
                <w:sz w:val="20"/>
                <w:szCs w:val="20"/>
              </w:rPr>
              <w:t>100% of the ownership interests in Borrower</w:t>
            </w:r>
          </w:p>
        </w:tc>
      </w:tr>
      <w:tr w:rsidR="00282905" w14:paraId="349ECB18" w14:textId="77777777" w:rsidTr="00EF4032">
        <w:tblPrEx>
          <w:tblLook w:val="0000" w:firstRow="0" w:lastRow="0" w:firstColumn="0" w:lastColumn="0" w:noHBand="0" w:noVBand="0"/>
        </w:tblPrEx>
        <w:trPr>
          <w:trHeight w:val="269"/>
        </w:trPr>
        <w:tc>
          <w:tcPr>
            <w:tcW w:w="540" w:type="dxa"/>
            <w:tcBorders>
              <w:top w:val="single" w:sz="4" w:space="0" w:color="auto"/>
            </w:tcBorders>
            <w:shd w:val="clear" w:color="auto" w:fill="auto"/>
          </w:tcPr>
          <w:p w14:paraId="0ADC8419" w14:textId="77777777" w:rsidR="00282905" w:rsidRDefault="004279C3" w:rsidP="00AB34C1">
            <w:pPr>
              <w:pStyle w:val="CoverPageLoanNumberandName"/>
              <w:spacing w:after="0"/>
              <w:jc w:val="left"/>
              <w:rPr>
                <w:rFonts w:ascii="MS Gothic" w:eastAsia="MS Gothic" w:hAnsi="MS Gothic" w:cs="Arial"/>
                <w:b/>
                <w:sz w:val="28"/>
                <w:szCs w:val="28"/>
              </w:rPr>
            </w:pPr>
            <w:sdt>
              <w:sdtPr>
                <w:rPr>
                  <w:rFonts w:ascii="MS Gothic" w:eastAsia="MS Gothic" w:hAnsi="MS Gothic" w:cs="Arial" w:hint="eastAsia"/>
                  <w:b/>
                  <w:sz w:val="28"/>
                  <w:szCs w:val="28"/>
                </w:rPr>
                <w:id w:val="-2063477946"/>
                <w14:checkbox>
                  <w14:checked w14:val="0"/>
                  <w14:checkedState w14:val="2612" w14:font="MS Gothic"/>
                  <w14:uncheckedState w14:val="2610" w14:font="MS Gothic"/>
                </w14:checkbox>
              </w:sdtPr>
              <w:sdtEndPr/>
              <w:sdtContent>
                <w:r w:rsidR="00282905">
                  <w:rPr>
                    <w:rFonts w:ascii="MS Gothic" w:eastAsia="MS Gothic" w:hAnsi="MS Gothic" w:cs="Arial" w:hint="eastAsia"/>
                    <w:b/>
                    <w:sz w:val="28"/>
                    <w:szCs w:val="28"/>
                  </w:rPr>
                  <w:t>☐</w:t>
                </w:r>
              </w:sdtContent>
            </w:sdt>
          </w:p>
        </w:tc>
        <w:tc>
          <w:tcPr>
            <w:tcW w:w="9725" w:type="dxa"/>
            <w:gridSpan w:val="2"/>
            <w:shd w:val="clear" w:color="auto" w:fill="auto"/>
            <w:vAlign w:val="center"/>
          </w:tcPr>
          <w:p w14:paraId="48C47A90" w14:textId="38BFA67D" w:rsidR="00282905" w:rsidRDefault="00282905" w:rsidP="00AB34C1">
            <w:pPr>
              <w:pStyle w:val="CoverPageLoanNumberandName"/>
              <w:spacing w:after="0"/>
              <w:jc w:val="left"/>
              <w:rPr>
                <w:rFonts w:ascii="Arial" w:eastAsia="MS Gothic" w:hAnsi="Arial" w:cs="Arial"/>
                <w:bCs/>
                <w:sz w:val="20"/>
                <w:szCs w:val="20"/>
              </w:rPr>
            </w:pPr>
            <w:r w:rsidRPr="00AB34C1">
              <w:rPr>
                <w:rFonts w:ascii="Arial" w:eastAsia="MS Gothic" w:hAnsi="Arial" w:cs="Arial"/>
                <w:bCs/>
                <w:sz w:val="20"/>
                <w:szCs w:val="20"/>
              </w:rPr>
              <w:t>100% of the ownership interests in the sole member of Borrower</w:t>
            </w:r>
          </w:p>
        </w:tc>
      </w:tr>
      <w:tr w:rsidR="00AB34C1" w14:paraId="20F63CA5" w14:textId="77777777" w:rsidTr="009509BD">
        <w:tblPrEx>
          <w:tblLook w:val="0000" w:firstRow="0" w:lastRow="0" w:firstColumn="0" w:lastColumn="0" w:noHBand="0" w:noVBand="0"/>
        </w:tblPrEx>
        <w:trPr>
          <w:trHeight w:val="80"/>
        </w:trPr>
        <w:tc>
          <w:tcPr>
            <w:tcW w:w="10265" w:type="dxa"/>
            <w:gridSpan w:val="3"/>
            <w:vAlign w:val="center"/>
          </w:tcPr>
          <w:p w14:paraId="49C4E0F0" w14:textId="1957115B" w:rsidR="00AB34C1" w:rsidRDefault="00AB34C1" w:rsidP="00AB34C1">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Pr>
                <w:rFonts w:ascii="Arial" w:eastAsia="MS Gothic" w:hAnsi="Arial" w:cs="Arial"/>
                <w:i/>
                <w:sz w:val="16"/>
                <w:szCs w:val="16"/>
              </w:rPr>
              <w:t>Section</w:t>
            </w:r>
            <w:r w:rsidR="00282905">
              <w:rPr>
                <w:rFonts w:ascii="Arial" w:eastAsia="MS Gothic" w:hAnsi="Arial" w:cs="Arial"/>
                <w:i/>
                <w:sz w:val="16"/>
                <w:szCs w:val="16"/>
              </w:rPr>
              <w:t>s</w:t>
            </w:r>
            <w:r>
              <w:rPr>
                <w:rFonts w:ascii="Arial" w:eastAsia="MS Gothic" w:hAnsi="Arial" w:cs="Arial"/>
                <w:i/>
                <w:sz w:val="16"/>
                <w:szCs w:val="16"/>
              </w:rPr>
              <w:t xml:space="preserve"> </w:t>
            </w:r>
            <w:r w:rsidR="0094541D">
              <w:rPr>
                <w:rFonts w:ascii="Arial" w:eastAsia="MS Gothic" w:hAnsi="Arial" w:cs="Arial"/>
                <w:i/>
                <w:sz w:val="16"/>
                <w:szCs w:val="16"/>
              </w:rPr>
              <w:t xml:space="preserve">3.04, 3.05, </w:t>
            </w:r>
            <w:r w:rsidR="00282905">
              <w:rPr>
                <w:rFonts w:ascii="Arial" w:eastAsia="MS Gothic" w:hAnsi="Arial" w:cs="Arial"/>
                <w:i/>
                <w:sz w:val="16"/>
                <w:szCs w:val="16"/>
              </w:rPr>
              <w:t>6.09, 6.</w:t>
            </w:r>
            <w:r w:rsidR="00880FBF">
              <w:rPr>
                <w:rFonts w:ascii="Arial" w:eastAsia="MS Gothic" w:hAnsi="Arial" w:cs="Arial"/>
                <w:i/>
                <w:sz w:val="16"/>
                <w:szCs w:val="16"/>
              </w:rPr>
              <w:t>2</w:t>
            </w:r>
            <w:r w:rsidR="00282905">
              <w:rPr>
                <w:rFonts w:ascii="Arial" w:eastAsia="MS Gothic" w:hAnsi="Arial" w:cs="Arial"/>
                <w:i/>
                <w:sz w:val="16"/>
                <w:szCs w:val="16"/>
              </w:rPr>
              <w:t xml:space="preserve">9, 7.02, 7.03, </w:t>
            </w:r>
            <w:r>
              <w:rPr>
                <w:rFonts w:ascii="Arial" w:eastAsia="MS Gothic" w:hAnsi="Arial" w:cs="Arial"/>
                <w:i/>
                <w:sz w:val="16"/>
                <w:szCs w:val="16"/>
              </w:rPr>
              <w:t xml:space="preserve">and </w:t>
            </w:r>
            <w:r w:rsidR="00282905">
              <w:rPr>
                <w:rFonts w:ascii="Arial" w:eastAsia="MS Gothic" w:hAnsi="Arial" w:cs="Arial"/>
                <w:i/>
                <w:sz w:val="16"/>
                <w:szCs w:val="16"/>
              </w:rPr>
              <w:t>9.01</w:t>
            </w:r>
            <w:r>
              <w:rPr>
                <w:rFonts w:ascii="Arial" w:eastAsia="MS Gothic" w:hAnsi="Arial" w:cs="Arial"/>
                <w:i/>
                <w:sz w:val="16"/>
                <w:szCs w:val="16"/>
              </w:rPr>
              <w:t xml:space="preserve">) </w:t>
            </w:r>
          </w:p>
        </w:tc>
      </w:tr>
      <w:bookmarkEnd w:id="0"/>
    </w:tbl>
    <w:p w14:paraId="4F9EEEAF" w14:textId="2D60D797" w:rsidR="0034321A" w:rsidRDefault="0034321A" w:rsidP="008A1CB5">
      <w:pPr>
        <w:shd w:val="clear" w:color="auto" w:fill="FFFFFF"/>
        <w:rPr>
          <w:bCs/>
        </w:rPr>
      </w:pPr>
    </w:p>
    <w:p w14:paraId="773B8894" w14:textId="41F395F8" w:rsidR="00282905" w:rsidRDefault="00282905" w:rsidP="008A1CB5">
      <w:pPr>
        <w:shd w:val="clear" w:color="auto" w:fill="FFFFFF"/>
        <w:rPr>
          <w:bCs/>
        </w:rPr>
      </w:pPr>
    </w:p>
    <w:p w14:paraId="38CD1CD7" w14:textId="229017AD" w:rsidR="00282905" w:rsidRPr="0094541D" w:rsidRDefault="00282905" w:rsidP="008A1CB5">
      <w:pPr>
        <w:shd w:val="clear" w:color="auto" w:fill="FFFFFF"/>
        <w:rPr>
          <w:rFonts w:cs="Arial"/>
          <w:bCs/>
        </w:rPr>
      </w:pPr>
      <w:r w:rsidRPr="0094541D">
        <w:rPr>
          <w:rFonts w:cs="Arial"/>
          <w:bCs/>
        </w:rPr>
        <w:t>B.</w:t>
      </w:r>
      <w:r w:rsidRPr="0094541D">
        <w:rPr>
          <w:rFonts w:cs="Arial"/>
          <w:bCs/>
        </w:rPr>
        <w:tab/>
        <w:t>Section 3.</w:t>
      </w:r>
      <w:r w:rsidR="0094541D" w:rsidRPr="0094541D">
        <w:rPr>
          <w:rFonts w:cs="Arial"/>
          <w:bCs/>
        </w:rPr>
        <w:t>04(</w:t>
      </w:r>
      <w:r w:rsidR="006D10C2">
        <w:rPr>
          <w:rFonts w:cs="Arial"/>
          <w:bCs/>
        </w:rPr>
        <w:t>e)</w:t>
      </w:r>
      <w:r w:rsidRPr="0094541D">
        <w:rPr>
          <w:rFonts w:cs="Arial"/>
          <w:bCs/>
        </w:rPr>
        <w:t xml:space="preserve"> is deleted and replaced with the following: </w:t>
      </w:r>
    </w:p>
    <w:p w14:paraId="5C183DC9" w14:textId="2907405B" w:rsidR="00282905" w:rsidRPr="0094541D" w:rsidRDefault="00282905" w:rsidP="008A1CB5">
      <w:pPr>
        <w:shd w:val="clear" w:color="auto" w:fill="FFFFFF"/>
        <w:rPr>
          <w:rFonts w:cs="Arial"/>
          <w:bCs/>
        </w:rPr>
      </w:pPr>
    </w:p>
    <w:p w14:paraId="0E519599" w14:textId="0CE91F38" w:rsidR="00282905" w:rsidRPr="0094541D" w:rsidRDefault="0094541D" w:rsidP="00282905">
      <w:pPr>
        <w:pStyle w:val="BlockText"/>
        <w:tabs>
          <w:tab w:val="left" w:pos="1440"/>
          <w:tab w:val="left" w:pos="7920"/>
          <w:tab w:val="left" w:pos="8640"/>
        </w:tabs>
        <w:ind w:left="1440" w:right="0"/>
        <w:rPr>
          <w:rFonts w:ascii="Arial" w:hAnsi="Arial" w:cs="Arial"/>
          <w:sz w:val="20"/>
        </w:rPr>
      </w:pPr>
      <w:r w:rsidRPr="0094541D">
        <w:rPr>
          <w:rFonts w:ascii="Arial" w:hAnsi="Arial" w:cs="Arial"/>
          <w:sz w:val="20"/>
        </w:rPr>
        <w:t>(</w:t>
      </w:r>
      <w:r w:rsidR="006D10C2">
        <w:rPr>
          <w:rFonts w:ascii="Arial" w:hAnsi="Arial" w:cs="Arial"/>
          <w:sz w:val="20"/>
        </w:rPr>
        <w:t>e</w:t>
      </w:r>
      <w:r w:rsidRPr="0094541D">
        <w:rPr>
          <w:rFonts w:ascii="Arial" w:hAnsi="Arial" w:cs="Arial"/>
          <w:sz w:val="20"/>
        </w:rPr>
        <w:t>)</w:t>
      </w:r>
      <w:r w:rsidR="00282905" w:rsidRPr="0094541D">
        <w:rPr>
          <w:rFonts w:ascii="Arial" w:hAnsi="Arial" w:cs="Arial"/>
          <w:sz w:val="20"/>
        </w:rPr>
        <w:tab/>
      </w:r>
      <w:r w:rsidRPr="0094541D">
        <w:rPr>
          <w:rFonts w:ascii="Arial" w:hAnsi="Arial" w:cs="Arial"/>
          <w:sz w:val="20"/>
        </w:rPr>
        <w:t>A</w:t>
      </w:r>
      <w:r w:rsidR="00282905" w:rsidRPr="0094541D">
        <w:rPr>
          <w:rFonts w:ascii="Arial" w:hAnsi="Arial" w:cs="Arial"/>
          <w:sz w:val="20"/>
        </w:rPr>
        <w:t>ny losses, expenses, damages or liability, as determined by Lender, associated directly or indirectly with the Reverse Tax-Deferred Exchange.</w:t>
      </w:r>
    </w:p>
    <w:p w14:paraId="6AE4C427" w14:textId="03498F99" w:rsidR="00282905" w:rsidRDefault="00282905" w:rsidP="00282905">
      <w:pPr>
        <w:pStyle w:val="ExDStdProvsNormal"/>
        <w:ind w:left="1440" w:hanging="720"/>
        <w:rPr>
          <w:rFonts w:ascii="Arial" w:hAnsi="Arial" w:cs="Arial"/>
          <w:sz w:val="20"/>
          <w:szCs w:val="20"/>
        </w:rPr>
      </w:pPr>
    </w:p>
    <w:p w14:paraId="38168992" w14:textId="77777777" w:rsidR="00074B9B" w:rsidRPr="0094541D" w:rsidRDefault="00074B9B" w:rsidP="00282905">
      <w:pPr>
        <w:pStyle w:val="ExDStdProvsNormal"/>
        <w:ind w:left="1440" w:hanging="720"/>
        <w:rPr>
          <w:rFonts w:ascii="Arial" w:hAnsi="Arial" w:cs="Arial"/>
          <w:sz w:val="20"/>
          <w:szCs w:val="20"/>
        </w:rPr>
      </w:pPr>
    </w:p>
    <w:p w14:paraId="6546077F" w14:textId="665F52E0" w:rsidR="00282905" w:rsidRPr="0094541D" w:rsidRDefault="0094541D" w:rsidP="00282905">
      <w:pPr>
        <w:pStyle w:val="SmallLoanDocModReq"/>
        <w:ind w:left="720" w:hanging="720"/>
        <w:rPr>
          <w:rFonts w:ascii="Arial" w:hAnsi="Arial" w:cs="Arial"/>
          <w:sz w:val="20"/>
        </w:rPr>
      </w:pPr>
      <w:r>
        <w:rPr>
          <w:rFonts w:ascii="Arial" w:hAnsi="Arial" w:cs="Arial"/>
          <w:sz w:val="20"/>
        </w:rPr>
        <w:t>C</w:t>
      </w:r>
      <w:r w:rsidR="00282905" w:rsidRPr="0094541D">
        <w:rPr>
          <w:rFonts w:ascii="Arial" w:hAnsi="Arial" w:cs="Arial"/>
          <w:sz w:val="20"/>
        </w:rPr>
        <w:t>.</w:t>
      </w:r>
      <w:r w:rsidR="00282905" w:rsidRPr="0094541D">
        <w:rPr>
          <w:rFonts w:ascii="Arial" w:hAnsi="Arial" w:cs="Arial"/>
          <w:sz w:val="20"/>
        </w:rPr>
        <w:tab/>
      </w:r>
      <w:r w:rsidRPr="0094541D">
        <w:rPr>
          <w:rFonts w:ascii="Arial" w:hAnsi="Arial" w:cs="Arial"/>
          <w:sz w:val="20"/>
        </w:rPr>
        <w:t>Section 3.05(</w:t>
      </w:r>
      <w:r w:rsidR="006D10C2">
        <w:rPr>
          <w:rFonts w:ascii="Arial" w:hAnsi="Arial" w:cs="Arial"/>
          <w:sz w:val="20"/>
        </w:rPr>
        <w:t>j</w:t>
      </w:r>
      <w:r w:rsidRPr="0094541D">
        <w:rPr>
          <w:rFonts w:ascii="Arial" w:hAnsi="Arial" w:cs="Arial"/>
          <w:sz w:val="20"/>
        </w:rPr>
        <w:t xml:space="preserve">) </w:t>
      </w:r>
      <w:r w:rsidR="00282905" w:rsidRPr="0094541D">
        <w:rPr>
          <w:rFonts w:ascii="Arial" w:hAnsi="Arial" w:cs="Arial"/>
          <w:sz w:val="20"/>
        </w:rPr>
        <w:t xml:space="preserve">is deleted and replaced with the following: </w:t>
      </w:r>
    </w:p>
    <w:p w14:paraId="4A9A92BD" w14:textId="77777777" w:rsidR="00282905" w:rsidRPr="0094541D" w:rsidRDefault="00282905" w:rsidP="00282905">
      <w:pPr>
        <w:pStyle w:val="ExDStdProvsNormal"/>
        <w:ind w:left="1440" w:hanging="720"/>
        <w:rPr>
          <w:rFonts w:ascii="Arial" w:hAnsi="Arial" w:cs="Arial"/>
          <w:sz w:val="20"/>
          <w:szCs w:val="20"/>
        </w:rPr>
      </w:pPr>
    </w:p>
    <w:p w14:paraId="26FC4350" w14:textId="71FB49AB" w:rsidR="00282905" w:rsidRPr="0094541D" w:rsidRDefault="00282905" w:rsidP="00282905">
      <w:pPr>
        <w:pStyle w:val="BlockText"/>
        <w:ind w:left="1440" w:right="0"/>
        <w:rPr>
          <w:rFonts w:ascii="Arial" w:hAnsi="Arial" w:cs="Arial"/>
          <w:sz w:val="20"/>
        </w:rPr>
      </w:pPr>
      <w:r w:rsidRPr="0094541D">
        <w:rPr>
          <w:rFonts w:ascii="Arial" w:hAnsi="Arial" w:cs="Arial"/>
          <w:sz w:val="20"/>
        </w:rPr>
        <w:t>(</w:t>
      </w:r>
      <w:r w:rsidR="006D10C2">
        <w:rPr>
          <w:rFonts w:ascii="Arial" w:hAnsi="Arial" w:cs="Arial"/>
          <w:sz w:val="20"/>
        </w:rPr>
        <w:t>j</w:t>
      </w:r>
      <w:r w:rsidRPr="0094541D">
        <w:rPr>
          <w:rFonts w:ascii="Arial" w:hAnsi="Arial" w:cs="Arial"/>
          <w:sz w:val="20"/>
        </w:rPr>
        <w:t>)</w:t>
      </w:r>
      <w:r w:rsidRPr="0094541D">
        <w:rPr>
          <w:rFonts w:ascii="Arial" w:hAnsi="Arial" w:cs="Arial"/>
          <w:sz w:val="20"/>
        </w:rPr>
        <w:tab/>
        <w:t xml:space="preserve">Borrower fails to cause the EAT to transfer all of the Exchange Interests to the Exchange Owner or, if applicable, to the Exchange Owner Affiliate, by the applicable date required in </w:t>
      </w:r>
      <w:r w:rsidR="0094541D" w:rsidRPr="0094541D">
        <w:rPr>
          <w:rFonts w:ascii="Arial" w:hAnsi="Arial" w:cs="Arial"/>
          <w:sz w:val="20"/>
        </w:rPr>
        <w:t>Section 7.03(a)(</w:t>
      </w:r>
      <w:r w:rsidR="00131AAB">
        <w:rPr>
          <w:rFonts w:ascii="Arial" w:hAnsi="Arial" w:cs="Arial"/>
          <w:sz w:val="20"/>
        </w:rPr>
        <w:t>i</w:t>
      </w:r>
      <w:r w:rsidR="0094541D" w:rsidRPr="0094541D">
        <w:rPr>
          <w:rFonts w:ascii="Arial" w:hAnsi="Arial" w:cs="Arial"/>
          <w:sz w:val="20"/>
        </w:rPr>
        <w:t>x).</w:t>
      </w:r>
    </w:p>
    <w:p w14:paraId="4A100287" w14:textId="53A8673A" w:rsidR="008A1CB5" w:rsidRDefault="008A1CB5" w:rsidP="008A1CB5">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7E8D0DF5" w14:textId="77777777" w:rsidR="00074B9B" w:rsidRPr="0094541D" w:rsidRDefault="00074B9B" w:rsidP="008A1CB5">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633DE1C3" w14:textId="50460D58" w:rsidR="008A1CB5" w:rsidRPr="0094541D" w:rsidRDefault="0094541D" w:rsidP="008A1CB5">
      <w:pPr>
        <w:pStyle w:val="BodyTextIndent3"/>
        <w:tabs>
          <w:tab w:val="left" w:pos="720"/>
        </w:tabs>
        <w:spacing w:after="0"/>
        <w:ind w:left="720" w:hanging="720"/>
        <w:rPr>
          <w:rFonts w:ascii="Arial" w:hAnsi="Arial" w:cs="Arial"/>
          <w:sz w:val="20"/>
          <w:szCs w:val="20"/>
        </w:rPr>
      </w:pPr>
      <w:r>
        <w:rPr>
          <w:rFonts w:ascii="Arial" w:hAnsi="Arial" w:cs="Arial"/>
          <w:sz w:val="20"/>
          <w:szCs w:val="20"/>
        </w:rPr>
        <w:t>D</w:t>
      </w:r>
      <w:r w:rsidR="008A1CB5" w:rsidRPr="0094541D">
        <w:rPr>
          <w:rFonts w:ascii="Arial" w:hAnsi="Arial" w:cs="Arial"/>
          <w:sz w:val="20"/>
          <w:szCs w:val="20"/>
        </w:rPr>
        <w:t>.</w:t>
      </w:r>
      <w:r w:rsidR="008A1CB5" w:rsidRPr="0094541D">
        <w:rPr>
          <w:rFonts w:ascii="Arial" w:hAnsi="Arial" w:cs="Arial"/>
          <w:sz w:val="20"/>
          <w:szCs w:val="20"/>
        </w:rPr>
        <w:tab/>
        <w:t>Section 6.09(</w:t>
      </w:r>
      <w:r w:rsidR="003C341A">
        <w:rPr>
          <w:rFonts w:ascii="Arial" w:hAnsi="Arial" w:cs="Arial"/>
          <w:sz w:val="20"/>
          <w:szCs w:val="20"/>
        </w:rPr>
        <w:t>m</w:t>
      </w:r>
      <w:r w:rsidR="008A1CB5" w:rsidRPr="0094541D">
        <w:rPr>
          <w:rFonts w:ascii="Arial" w:hAnsi="Arial" w:cs="Arial"/>
          <w:sz w:val="20"/>
          <w:szCs w:val="20"/>
        </w:rPr>
        <w:t>) is deleted and replaced with the following:</w:t>
      </w:r>
    </w:p>
    <w:p w14:paraId="580AE52F" w14:textId="77777777" w:rsidR="008A1CB5" w:rsidRPr="0094541D" w:rsidRDefault="008A1CB5" w:rsidP="008A1CB5">
      <w:pPr>
        <w:pStyle w:val="BodyTextIndent3"/>
        <w:tabs>
          <w:tab w:val="left" w:pos="720"/>
        </w:tabs>
        <w:spacing w:after="0"/>
        <w:ind w:hanging="720"/>
        <w:rPr>
          <w:rFonts w:ascii="Arial" w:hAnsi="Arial" w:cs="Arial"/>
          <w:sz w:val="20"/>
          <w:szCs w:val="20"/>
        </w:rPr>
      </w:pPr>
    </w:p>
    <w:p w14:paraId="350712C4" w14:textId="2A7ADC49" w:rsidR="008A1CB5" w:rsidRPr="0094541D" w:rsidRDefault="008A1CB5" w:rsidP="008A1CB5">
      <w:pPr>
        <w:pStyle w:val="BodyTextIndent3"/>
        <w:tabs>
          <w:tab w:val="left" w:pos="1440"/>
        </w:tabs>
        <w:spacing w:after="0"/>
        <w:ind w:left="1440" w:hanging="720"/>
        <w:rPr>
          <w:rFonts w:ascii="Arial" w:hAnsi="Arial" w:cs="Arial"/>
          <w:sz w:val="20"/>
          <w:szCs w:val="20"/>
        </w:rPr>
      </w:pPr>
      <w:r w:rsidRPr="0094541D">
        <w:rPr>
          <w:rFonts w:ascii="Arial" w:hAnsi="Arial" w:cs="Arial"/>
          <w:sz w:val="20"/>
          <w:szCs w:val="20"/>
        </w:rPr>
        <w:t>(</w:t>
      </w:r>
      <w:r w:rsidR="003C341A">
        <w:rPr>
          <w:rFonts w:ascii="Arial" w:hAnsi="Arial" w:cs="Arial"/>
          <w:sz w:val="20"/>
          <w:szCs w:val="20"/>
        </w:rPr>
        <w:t>m</w:t>
      </w:r>
      <w:r w:rsidRPr="0094541D">
        <w:rPr>
          <w:rFonts w:ascii="Arial" w:hAnsi="Arial" w:cs="Arial"/>
          <w:sz w:val="20"/>
          <w:szCs w:val="20"/>
        </w:rPr>
        <w:t>)</w:t>
      </w:r>
      <w:r w:rsidRPr="0094541D">
        <w:rPr>
          <w:rFonts w:ascii="Arial" w:hAnsi="Arial" w:cs="Arial"/>
          <w:sz w:val="20"/>
          <w:szCs w:val="20"/>
        </w:rPr>
        <w:tab/>
        <w:t xml:space="preserve">The Property Manager approved by Lender must manage the Mortgaged Property in accordance with Section 6.09 at all times during the term of the Master Lease and after the Exchange Transfer. </w:t>
      </w:r>
    </w:p>
    <w:p w14:paraId="6B67C91C" w14:textId="045D73CF" w:rsidR="008A1CB5" w:rsidRDefault="008A1CB5" w:rsidP="008A1CB5">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10306CCC" w14:textId="77777777" w:rsidR="00074B9B" w:rsidRPr="0094541D" w:rsidRDefault="00074B9B" w:rsidP="008A1CB5">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079B2432" w14:textId="4661A4E6" w:rsidR="008A1CB5" w:rsidRPr="008A1CB5" w:rsidRDefault="0094541D" w:rsidP="008A1CB5">
      <w:pPr>
        <w:shd w:val="clear" w:color="auto" w:fill="FFFFFF"/>
        <w:tabs>
          <w:tab w:val="left" w:pos="720"/>
          <w:tab w:val="left" w:pos="1080"/>
          <w:tab w:val="left" w:pos="1440"/>
        </w:tabs>
        <w:rPr>
          <w:rFonts w:cs="Arial"/>
        </w:rPr>
      </w:pPr>
      <w:r>
        <w:rPr>
          <w:rFonts w:cs="Arial"/>
        </w:rPr>
        <w:t>E</w:t>
      </w:r>
      <w:r w:rsidR="008A1CB5" w:rsidRPr="008A1CB5">
        <w:rPr>
          <w:rFonts w:cs="Arial"/>
        </w:rPr>
        <w:t>.</w:t>
      </w:r>
      <w:r w:rsidR="008A1CB5" w:rsidRPr="008A1CB5">
        <w:rPr>
          <w:rFonts w:cs="Arial"/>
        </w:rPr>
        <w:tab/>
        <w:t>Section 6.</w:t>
      </w:r>
      <w:r w:rsidR="003C341A">
        <w:rPr>
          <w:rFonts w:cs="Arial"/>
        </w:rPr>
        <w:t>29</w:t>
      </w:r>
      <w:r w:rsidR="003C341A" w:rsidRPr="008A1CB5">
        <w:rPr>
          <w:rFonts w:cs="Arial"/>
        </w:rPr>
        <w:t xml:space="preserve"> </w:t>
      </w:r>
      <w:r w:rsidR="008A1CB5" w:rsidRPr="008A1CB5">
        <w:rPr>
          <w:rFonts w:cs="Arial"/>
        </w:rPr>
        <w:t>is deleted and replaced with the following:</w:t>
      </w:r>
    </w:p>
    <w:p w14:paraId="65C850BA" w14:textId="77777777" w:rsidR="008A1CB5" w:rsidRPr="008A1CB5" w:rsidRDefault="008A1CB5" w:rsidP="008A1CB5">
      <w:pPr>
        <w:shd w:val="clear" w:color="auto" w:fill="FFFFFF"/>
        <w:tabs>
          <w:tab w:val="left" w:pos="720"/>
          <w:tab w:val="left" w:pos="1080"/>
          <w:tab w:val="left" w:pos="1440"/>
        </w:tabs>
        <w:rPr>
          <w:rFonts w:cs="Arial"/>
        </w:rPr>
      </w:pPr>
    </w:p>
    <w:p w14:paraId="50CDE31C" w14:textId="2AFFF73A" w:rsidR="008A1CB5" w:rsidRPr="008A1CB5" w:rsidRDefault="008A1CB5" w:rsidP="008A1CB5">
      <w:pPr>
        <w:ind w:left="1440" w:hanging="720"/>
        <w:rPr>
          <w:rFonts w:cs="Arial"/>
          <w:b/>
          <w:bCs/>
        </w:rPr>
      </w:pPr>
      <w:r w:rsidRPr="008A1CB5">
        <w:rPr>
          <w:rFonts w:cs="Arial"/>
          <w:b/>
        </w:rPr>
        <w:t>6.</w:t>
      </w:r>
      <w:r w:rsidR="003C341A">
        <w:rPr>
          <w:rFonts w:cs="Arial"/>
          <w:b/>
        </w:rPr>
        <w:t>29</w:t>
      </w:r>
      <w:r w:rsidRPr="008A1CB5">
        <w:rPr>
          <w:rFonts w:cs="Arial"/>
        </w:rPr>
        <w:tab/>
      </w:r>
      <w:r w:rsidRPr="008A1CB5">
        <w:rPr>
          <w:rFonts w:cs="Arial"/>
          <w:b/>
        </w:rPr>
        <w:t>Reverse Tax-Deferred Exc</w:t>
      </w:r>
      <w:r w:rsidRPr="008A1CB5">
        <w:rPr>
          <w:rFonts w:cs="Arial"/>
          <w:b/>
          <w:bCs/>
        </w:rPr>
        <w:t xml:space="preserve">hange. </w:t>
      </w:r>
      <w:r w:rsidRPr="008A1CB5">
        <w:rPr>
          <w:rFonts w:cs="Arial"/>
        </w:rPr>
        <w:t>Borrower will complete the Exchange Transfer in accordance with the timing and all other requirements set forth in Section 7.03(a)(</w:t>
      </w:r>
      <w:r w:rsidR="00131AAB">
        <w:rPr>
          <w:rFonts w:cs="Arial"/>
        </w:rPr>
        <w:t>i</w:t>
      </w:r>
      <w:r w:rsidRPr="008A1CB5">
        <w:rPr>
          <w:rFonts w:cs="Arial"/>
        </w:rPr>
        <w:t>x).</w:t>
      </w:r>
    </w:p>
    <w:p w14:paraId="058E8676" w14:textId="2CCA821C" w:rsidR="008A1CB5" w:rsidRDefault="008A1CB5" w:rsidP="008A1CB5">
      <w:pPr>
        <w:pStyle w:val="BodyText"/>
        <w:spacing w:after="0"/>
        <w:ind w:left="749" w:hanging="749"/>
        <w:jc w:val="left"/>
        <w:rPr>
          <w:rFonts w:ascii="Arial" w:hAnsi="Arial" w:cs="Arial"/>
          <w:sz w:val="20"/>
          <w:szCs w:val="20"/>
        </w:rPr>
      </w:pPr>
    </w:p>
    <w:p w14:paraId="6FEE4842" w14:textId="77777777" w:rsidR="00074B9B" w:rsidRPr="008A1CB5" w:rsidRDefault="00074B9B" w:rsidP="008A1CB5">
      <w:pPr>
        <w:pStyle w:val="BodyText"/>
        <w:spacing w:after="0"/>
        <w:ind w:left="749" w:hanging="749"/>
        <w:jc w:val="left"/>
        <w:rPr>
          <w:rFonts w:ascii="Arial" w:hAnsi="Arial" w:cs="Arial"/>
          <w:sz w:val="20"/>
          <w:szCs w:val="20"/>
        </w:rPr>
      </w:pPr>
    </w:p>
    <w:p w14:paraId="47C915D0" w14:textId="38BC4696" w:rsidR="008A1CB5" w:rsidRPr="008A1CB5" w:rsidRDefault="0094541D" w:rsidP="008A1CB5">
      <w:pPr>
        <w:ind w:left="720" w:hanging="720"/>
        <w:rPr>
          <w:rFonts w:cs="Arial"/>
        </w:rPr>
      </w:pPr>
      <w:r>
        <w:rPr>
          <w:rFonts w:cs="Arial"/>
        </w:rPr>
        <w:t>F</w:t>
      </w:r>
      <w:r w:rsidR="008A1CB5" w:rsidRPr="008A1CB5">
        <w:rPr>
          <w:rFonts w:cs="Arial"/>
        </w:rPr>
        <w:t>.</w:t>
      </w:r>
      <w:r w:rsidR="008A1CB5" w:rsidRPr="008A1CB5">
        <w:rPr>
          <w:rFonts w:cs="Arial"/>
        </w:rPr>
        <w:tab/>
        <w:t>Section 7.02(</w:t>
      </w:r>
      <w:r w:rsidR="003C341A">
        <w:rPr>
          <w:rFonts w:cs="Arial"/>
        </w:rPr>
        <w:t>d</w:t>
      </w:r>
      <w:r w:rsidR="008A1CB5" w:rsidRPr="008A1CB5">
        <w:rPr>
          <w:rFonts w:cs="Arial"/>
        </w:rPr>
        <w:t>) is deleted and replaced with the following:</w:t>
      </w:r>
    </w:p>
    <w:p w14:paraId="0856A834" w14:textId="77777777" w:rsidR="008A1CB5" w:rsidRPr="008A1CB5" w:rsidRDefault="008A1CB5" w:rsidP="008A1CB5">
      <w:pPr>
        <w:rPr>
          <w:rFonts w:cs="Arial"/>
        </w:rPr>
      </w:pPr>
    </w:p>
    <w:p w14:paraId="7F7F8BFC" w14:textId="29ECAC27" w:rsidR="008A1CB5" w:rsidRPr="008A1CB5" w:rsidRDefault="008A1CB5" w:rsidP="008A1CB5">
      <w:pPr>
        <w:pStyle w:val="BodyTextIndent"/>
        <w:spacing w:after="0"/>
        <w:ind w:left="1440" w:hanging="720"/>
        <w:rPr>
          <w:rFonts w:cs="Arial"/>
        </w:rPr>
      </w:pPr>
      <w:r w:rsidRPr="008A1CB5">
        <w:rPr>
          <w:rFonts w:cs="Arial"/>
        </w:rPr>
        <w:t>(</w:t>
      </w:r>
      <w:r w:rsidR="003C341A">
        <w:rPr>
          <w:rFonts w:cs="Arial"/>
        </w:rPr>
        <w:t>d</w:t>
      </w:r>
      <w:r w:rsidRPr="008A1CB5">
        <w:rPr>
          <w:rFonts w:cs="Arial"/>
        </w:rPr>
        <w:t>)</w:t>
      </w:r>
      <w:r w:rsidRPr="008A1CB5">
        <w:rPr>
          <w:rFonts w:cs="Arial"/>
        </w:rPr>
        <w:tab/>
        <w:t>A pledge of the Exchange Interests by the EAT to the Exchange Owner or, if applicable, Exchange Owner Affiliate, in order to secure the EAT’s obligations under the Exchange Loan and to complete the Exchange Transfer.</w:t>
      </w:r>
    </w:p>
    <w:p w14:paraId="5B2A2C1F" w14:textId="77777777" w:rsidR="008A1CB5" w:rsidRPr="008A1CB5" w:rsidRDefault="008A1CB5" w:rsidP="008A1CB5">
      <w:pPr>
        <w:pStyle w:val="BodyText"/>
        <w:spacing w:after="0"/>
        <w:ind w:left="749" w:hanging="749"/>
        <w:jc w:val="left"/>
        <w:rPr>
          <w:rFonts w:ascii="Arial" w:hAnsi="Arial" w:cs="Arial"/>
          <w:sz w:val="20"/>
          <w:szCs w:val="20"/>
        </w:rPr>
      </w:pPr>
    </w:p>
    <w:p w14:paraId="7BEB788D" w14:textId="0A2C0C87" w:rsidR="008A1CB5" w:rsidRPr="008A1CB5" w:rsidRDefault="0094541D" w:rsidP="004A2A34">
      <w:pPr>
        <w:pStyle w:val="BodyTextIndent2"/>
        <w:keepNext/>
        <w:keepLines/>
        <w:spacing w:after="0" w:line="240" w:lineRule="auto"/>
        <w:ind w:left="720" w:hanging="720"/>
        <w:rPr>
          <w:rFonts w:cs="Arial"/>
        </w:rPr>
      </w:pPr>
      <w:r>
        <w:rPr>
          <w:rFonts w:cs="Arial"/>
        </w:rPr>
        <w:t>G</w:t>
      </w:r>
      <w:r w:rsidR="008A1CB5" w:rsidRPr="008A1CB5">
        <w:rPr>
          <w:rFonts w:cs="Arial"/>
        </w:rPr>
        <w:t>.</w:t>
      </w:r>
      <w:r w:rsidR="008A1CB5" w:rsidRPr="008A1CB5">
        <w:rPr>
          <w:rFonts w:cs="Arial"/>
        </w:rPr>
        <w:tab/>
        <w:t>Section 7.03(a)(</w:t>
      </w:r>
      <w:r w:rsidR="00131AAB">
        <w:rPr>
          <w:rFonts w:cs="Arial"/>
        </w:rPr>
        <w:t>i</w:t>
      </w:r>
      <w:r w:rsidR="008A1CB5" w:rsidRPr="008A1CB5">
        <w:rPr>
          <w:rFonts w:cs="Arial"/>
        </w:rPr>
        <w:t>x) is deleted and replaced with the following:</w:t>
      </w:r>
    </w:p>
    <w:p w14:paraId="137CAA84" w14:textId="77777777" w:rsidR="008A1CB5" w:rsidRPr="008A1CB5" w:rsidRDefault="008A1CB5" w:rsidP="004A2A34">
      <w:pPr>
        <w:pStyle w:val="BodyTextIndent2"/>
        <w:keepNext/>
        <w:keepLines/>
        <w:spacing w:after="0" w:line="240" w:lineRule="auto"/>
        <w:ind w:left="720" w:hanging="720"/>
        <w:rPr>
          <w:rFonts w:cs="Arial"/>
        </w:rPr>
      </w:pPr>
    </w:p>
    <w:p w14:paraId="30A65602" w14:textId="56E93FCE" w:rsidR="008A1CB5" w:rsidRPr="008A1CB5" w:rsidRDefault="008A1CB5" w:rsidP="004A2A34">
      <w:pPr>
        <w:pStyle w:val="BodyTextIndent2"/>
        <w:keepNext/>
        <w:keepLines/>
        <w:spacing w:after="0" w:line="240" w:lineRule="auto"/>
        <w:ind w:left="1440" w:hanging="720"/>
        <w:rPr>
          <w:rFonts w:cs="Arial"/>
        </w:rPr>
      </w:pPr>
      <w:r w:rsidRPr="008A1CB5">
        <w:rPr>
          <w:rFonts w:cs="Arial"/>
        </w:rPr>
        <w:t>(</w:t>
      </w:r>
      <w:r w:rsidR="00131AAB">
        <w:rPr>
          <w:rFonts w:cs="Arial"/>
        </w:rPr>
        <w:t>i</w:t>
      </w:r>
      <w:r w:rsidRPr="008A1CB5">
        <w:rPr>
          <w:rFonts w:cs="Arial"/>
        </w:rPr>
        <w:t>x)</w:t>
      </w:r>
      <w:r w:rsidRPr="008A1CB5">
        <w:rPr>
          <w:rFonts w:cs="Arial"/>
        </w:rPr>
        <w:tab/>
      </w:r>
      <w:r w:rsidRPr="008A1CB5">
        <w:rPr>
          <w:rFonts w:cs="Arial"/>
          <w:u w:val="single"/>
        </w:rPr>
        <w:t>Exchange Transfer.</w:t>
      </w:r>
      <w:r w:rsidRPr="008A1CB5">
        <w:rPr>
          <w:rFonts w:cs="Arial"/>
        </w:rPr>
        <w:t xml:space="preserve"> A Transfer of 100% of the Exchange Interests to the Exchange Owner or, if applicable, to the Exchange Owner Affiliate, if Borrower satisfies the requirements set forth in Section 7.04 and each of the following conditions is satisfied:</w:t>
      </w:r>
    </w:p>
    <w:p w14:paraId="783E4C36" w14:textId="77777777" w:rsidR="008A1CB5" w:rsidRPr="008A1CB5" w:rsidRDefault="008A1CB5" w:rsidP="008A1CB5">
      <w:pPr>
        <w:rPr>
          <w:rFonts w:cs="Arial"/>
        </w:rPr>
      </w:pPr>
    </w:p>
    <w:p w14:paraId="08FEAA62" w14:textId="77777777" w:rsidR="008A1CB5" w:rsidRPr="008A1CB5" w:rsidRDefault="008A1CB5" w:rsidP="008A1CB5">
      <w:pPr>
        <w:ind w:left="2160" w:hanging="720"/>
        <w:rPr>
          <w:rFonts w:cs="Arial"/>
        </w:rPr>
      </w:pPr>
      <w:r w:rsidRPr="008A1CB5">
        <w:rPr>
          <w:rFonts w:cs="Arial"/>
        </w:rPr>
        <w:t>(i)</w:t>
      </w:r>
      <w:r w:rsidRPr="008A1CB5">
        <w:rPr>
          <w:rFonts w:cs="Arial"/>
        </w:rPr>
        <w:tab/>
        <w:t>Notwithstanding Sections 7.04(a), Borrower provides Lender with either (A) at least 15 Business Days prior Notice of the proposed Exchange Transfer, together with the Transfer Processing Fee, if the Relinquished Property will be sold prior to the Exchange Termination Date, or (B) Notice of the Exchange Transfer within 5 Business Days after Borrower’s receipt of notice that the Relinquished Property will not be sold prior to the Exchange Termination Date, together with the Transfer Processing Fee.</w:t>
      </w:r>
    </w:p>
    <w:p w14:paraId="2CDB2155" w14:textId="77777777" w:rsidR="008A1CB5" w:rsidRPr="008A1CB5" w:rsidRDefault="008A1CB5" w:rsidP="008A1CB5">
      <w:pPr>
        <w:ind w:left="2160" w:hanging="720"/>
        <w:rPr>
          <w:rFonts w:cs="Arial"/>
        </w:rPr>
      </w:pPr>
    </w:p>
    <w:p w14:paraId="6D9A8867" w14:textId="77777777" w:rsidR="008A1CB5" w:rsidRPr="008A1CB5" w:rsidRDefault="008A1CB5" w:rsidP="008A1CB5">
      <w:pPr>
        <w:ind w:left="2160" w:hanging="720"/>
        <w:rPr>
          <w:rFonts w:cs="Arial"/>
        </w:rPr>
      </w:pPr>
      <w:r w:rsidRPr="008A1CB5">
        <w:rPr>
          <w:rFonts w:cs="Arial"/>
        </w:rPr>
        <w:t>(ii)</w:t>
      </w:r>
      <w:r w:rsidRPr="008A1CB5">
        <w:rPr>
          <w:rFonts w:cs="Arial"/>
        </w:rPr>
        <w:tab/>
        <w:t>The Notice must be accompanied by copies of the following for Lender’s review and approval:</w:t>
      </w:r>
    </w:p>
    <w:p w14:paraId="5C6FBF0B" w14:textId="77777777" w:rsidR="008A1CB5" w:rsidRPr="008A1CB5" w:rsidRDefault="008A1CB5" w:rsidP="008A1CB5">
      <w:pPr>
        <w:ind w:left="2070" w:hanging="630"/>
        <w:rPr>
          <w:rFonts w:cs="Arial"/>
        </w:rPr>
      </w:pPr>
    </w:p>
    <w:p w14:paraId="4600EAED" w14:textId="77777777" w:rsidR="008A1CB5" w:rsidRPr="008A1CB5" w:rsidRDefault="008A1CB5" w:rsidP="008A1CB5">
      <w:pPr>
        <w:ind w:left="2880" w:hanging="720"/>
        <w:rPr>
          <w:rFonts w:cs="Arial"/>
        </w:rPr>
      </w:pPr>
      <w:r w:rsidRPr="008A1CB5">
        <w:rPr>
          <w:rFonts w:cs="Arial"/>
        </w:rPr>
        <w:t>(A)</w:t>
      </w:r>
      <w:r w:rsidRPr="008A1CB5">
        <w:rPr>
          <w:rFonts w:cs="Arial"/>
        </w:rPr>
        <w:tab/>
        <w:t>Drafts or executed copies of the documentation necessary to complete the Exchange Transfer, including a copy of the assignment of the Exchange Interests to the Exchange Owner or, if applicable, the Exchange Owner Affiliate.</w:t>
      </w:r>
    </w:p>
    <w:p w14:paraId="2C416F73" w14:textId="77777777" w:rsidR="008A1CB5" w:rsidRPr="008A1CB5" w:rsidRDefault="008A1CB5" w:rsidP="008A1CB5">
      <w:pPr>
        <w:ind w:left="2880" w:hanging="720"/>
        <w:rPr>
          <w:rFonts w:cs="Arial"/>
        </w:rPr>
      </w:pPr>
    </w:p>
    <w:p w14:paraId="655D5116" w14:textId="77777777" w:rsidR="008A1CB5" w:rsidRPr="008A1CB5" w:rsidRDefault="008A1CB5" w:rsidP="008A1CB5">
      <w:pPr>
        <w:ind w:left="2880" w:hanging="720"/>
        <w:rPr>
          <w:rFonts w:cs="Arial"/>
        </w:rPr>
      </w:pPr>
      <w:r w:rsidRPr="008A1CB5">
        <w:rPr>
          <w:rFonts w:cs="Arial"/>
        </w:rPr>
        <w:t>(B)</w:t>
      </w:r>
      <w:r w:rsidRPr="008A1CB5">
        <w:rPr>
          <w:rFonts w:cs="Arial"/>
        </w:rPr>
        <w:tab/>
        <w:t>Then-current Certificate of Good Standing for the Borrower and the Exchange Owner or, if applicable, the Exchange Owner Affiliate.</w:t>
      </w:r>
    </w:p>
    <w:p w14:paraId="47FCAFAE" w14:textId="77777777" w:rsidR="008A1CB5" w:rsidRPr="008A1CB5" w:rsidRDefault="008A1CB5" w:rsidP="008A1CB5">
      <w:pPr>
        <w:ind w:left="2880" w:hanging="720"/>
        <w:rPr>
          <w:rFonts w:cs="Arial"/>
        </w:rPr>
      </w:pPr>
    </w:p>
    <w:p w14:paraId="43EC7543" w14:textId="77777777" w:rsidR="008A1CB5" w:rsidRPr="008A1CB5" w:rsidRDefault="008A1CB5" w:rsidP="008A1CB5">
      <w:pPr>
        <w:ind w:left="2880" w:hanging="720"/>
        <w:rPr>
          <w:rFonts w:cs="Arial"/>
        </w:rPr>
      </w:pPr>
      <w:r w:rsidRPr="008A1CB5">
        <w:rPr>
          <w:rFonts w:cs="Arial"/>
        </w:rPr>
        <w:t>(C)</w:t>
      </w:r>
      <w:r w:rsidRPr="008A1CB5">
        <w:rPr>
          <w:rFonts w:cs="Arial"/>
        </w:rPr>
        <w:tab/>
        <w:t>Drafts or executed copies of an Affirmation from each Guarantor that the Guaranty remains in full force and effect.</w:t>
      </w:r>
    </w:p>
    <w:p w14:paraId="615B5704" w14:textId="77777777" w:rsidR="008A1CB5" w:rsidRPr="008A1CB5" w:rsidRDefault="008A1CB5" w:rsidP="008A1CB5">
      <w:pPr>
        <w:pStyle w:val="BodyTextIndent"/>
        <w:spacing w:after="0"/>
        <w:ind w:left="0"/>
        <w:rPr>
          <w:rFonts w:cs="Arial"/>
        </w:rPr>
      </w:pPr>
    </w:p>
    <w:p w14:paraId="08261FD4" w14:textId="4D41947B" w:rsidR="008A1CB5" w:rsidRPr="008A1CB5" w:rsidRDefault="008A1CB5" w:rsidP="008A1CB5">
      <w:pPr>
        <w:ind w:left="2160" w:hanging="720"/>
        <w:rPr>
          <w:rFonts w:cs="Arial"/>
        </w:rPr>
      </w:pPr>
      <w:r w:rsidRPr="008A1CB5">
        <w:rPr>
          <w:rFonts w:cs="Arial"/>
        </w:rPr>
        <w:t>(iii)</w:t>
      </w:r>
      <w:r w:rsidRPr="008A1CB5">
        <w:rPr>
          <w:rFonts w:cs="Arial"/>
        </w:rPr>
        <w:tab/>
        <w:t>Within 10 Business Days after the Exchange Transfer, Borrower provides Lender with executed copies of all of the documentation delivered to Lender in draft form as required by Section 7.03(a)(</w:t>
      </w:r>
      <w:r w:rsidR="00131AAB">
        <w:rPr>
          <w:rFonts w:cs="Arial"/>
        </w:rPr>
        <w:t>i</w:t>
      </w:r>
      <w:r w:rsidRPr="008A1CB5">
        <w:rPr>
          <w:rFonts w:cs="Arial"/>
        </w:rPr>
        <w:t xml:space="preserve">x)(ii) above and any other documents Lender may require </w:t>
      </w:r>
      <w:proofErr w:type="gramStart"/>
      <w:r w:rsidRPr="008A1CB5">
        <w:rPr>
          <w:rFonts w:cs="Arial"/>
        </w:rPr>
        <w:t>to evidence</w:t>
      </w:r>
      <w:proofErr w:type="gramEnd"/>
      <w:r w:rsidRPr="008A1CB5">
        <w:rPr>
          <w:rFonts w:cs="Arial"/>
        </w:rPr>
        <w:t xml:space="preserve"> the Exchange Transfer.</w:t>
      </w:r>
    </w:p>
    <w:p w14:paraId="399FC6A8" w14:textId="77777777" w:rsidR="008A1CB5" w:rsidRPr="008A1CB5" w:rsidRDefault="008A1CB5" w:rsidP="008A1CB5">
      <w:pPr>
        <w:ind w:left="2160" w:hanging="720"/>
        <w:rPr>
          <w:rFonts w:cs="Arial"/>
        </w:rPr>
      </w:pPr>
    </w:p>
    <w:p w14:paraId="4194EF2D" w14:textId="77777777" w:rsidR="008A1CB5" w:rsidRPr="008A1CB5" w:rsidRDefault="008A1CB5" w:rsidP="008A1CB5">
      <w:pPr>
        <w:ind w:left="2160" w:hanging="720"/>
        <w:rPr>
          <w:rFonts w:cs="Arial"/>
        </w:rPr>
      </w:pPr>
      <w:r w:rsidRPr="008A1CB5">
        <w:rPr>
          <w:rFonts w:cs="Arial"/>
        </w:rPr>
        <w:t>(iv)</w:t>
      </w:r>
      <w:r w:rsidRPr="008A1CB5">
        <w:rPr>
          <w:rFonts w:cs="Arial"/>
        </w:rPr>
        <w:tab/>
        <w:t xml:space="preserve">The Exchange Transfer is completed by either (A) the Exchange Termination Date, if the Relinquished Property is sold on or prior to the Exchange Termination Date, or (B) 5 Business Days after the Exchange Termination </w:t>
      </w:r>
      <w:proofErr w:type="gramStart"/>
      <w:r w:rsidRPr="008A1CB5">
        <w:rPr>
          <w:rFonts w:cs="Arial"/>
        </w:rPr>
        <w:t>Date, if</w:t>
      </w:r>
      <w:proofErr w:type="gramEnd"/>
      <w:r w:rsidRPr="008A1CB5">
        <w:rPr>
          <w:rFonts w:cs="Arial"/>
        </w:rPr>
        <w:t xml:space="preserve"> the Relinquished Property is not sold on or prior to the Exchange Termination Date.</w:t>
      </w:r>
    </w:p>
    <w:p w14:paraId="09A86A84" w14:textId="2356EEE2" w:rsidR="008A1CB5" w:rsidRDefault="008A1CB5" w:rsidP="008A1CB5">
      <w:pPr>
        <w:pStyle w:val="BodyText"/>
        <w:spacing w:after="0"/>
        <w:ind w:left="749" w:hanging="749"/>
        <w:jc w:val="left"/>
        <w:rPr>
          <w:rFonts w:ascii="Arial" w:hAnsi="Arial" w:cs="Arial"/>
          <w:sz w:val="20"/>
          <w:szCs w:val="20"/>
        </w:rPr>
      </w:pPr>
    </w:p>
    <w:p w14:paraId="591724F3" w14:textId="77777777" w:rsidR="00074B9B" w:rsidRPr="008A1CB5" w:rsidRDefault="00074B9B" w:rsidP="008A1CB5">
      <w:pPr>
        <w:pStyle w:val="BodyText"/>
        <w:spacing w:after="0"/>
        <w:ind w:left="749" w:hanging="749"/>
        <w:jc w:val="left"/>
        <w:rPr>
          <w:rFonts w:ascii="Arial" w:hAnsi="Arial" w:cs="Arial"/>
          <w:sz w:val="20"/>
          <w:szCs w:val="20"/>
        </w:rPr>
      </w:pPr>
    </w:p>
    <w:p w14:paraId="1D0B0347" w14:textId="4348F975" w:rsidR="008A1CB5" w:rsidRPr="008A1CB5" w:rsidRDefault="0094541D" w:rsidP="008A1CB5">
      <w:pPr>
        <w:ind w:left="720" w:hanging="720"/>
        <w:rPr>
          <w:rFonts w:cs="Arial"/>
        </w:rPr>
      </w:pPr>
      <w:r>
        <w:rPr>
          <w:rFonts w:cs="Arial"/>
        </w:rPr>
        <w:t>H</w:t>
      </w:r>
      <w:r w:rsidR="008A1CB5" w:rsidRPr="008A1CB5">
        <w:rPr>
          <w:rFonts w:cs="Arial"/>
        </w:rPr>
        <w:t>.</w:t>
      </w:r>
      <w:r w:rsidR="008A1CB5" w:rsidRPr="008A1CB5">
        <w:rPr>
          <w:rFonts w:cs="Arial"/>
        </w:rPr>
        <w:tab/>
        <w:t>Sections 9.01(ss), (</w:t>
      </w:r>
      <w:proofErr w:type="spellStart"/>
      <w:r w:rsidR="008A1CB5" w:rsidRPr="008A1CB5">
        <w:rPr>
          <w:rFonts w:cs="Arial"/>
        </w:rPr>
        <w:t>tt</w:t>
      </w:r>
      <w:proofErr w:type="spellEnd"/>
      <w:r w:rsidR="008A1CB5" w:rsidRPr="008A1CB5">
        <w:rPr>
          <w:rFonts w:cs="Arial"/>
        </w:rPr>
        <w:t>), (</w:t>
      </w:r>
      <w:proofErr w:type="spellStart"/>
      <w:r w:rsidR="008A1CB5" w:rsidRPr="008A1CB5">
        <w:rPr>
          <w:rFonts w:cs="Arial"/>
        </w:rPr>
        <w:t>uu</w:t>
      </w:r>
      <w:proofErr w:type="spellEnd"/>
      <w:r w:rsidR="008A1CB5" w:rsidRPr="008A1CB5">
        <w:rPr>
          <w:rFonts w:cs="Arial"/>
        </w:rPr>
        <w:t>), (</w:t>
      </w:r>
      <w:proofErr w:type="spellStart"/>
      <w:r w:rsidR="008A1CB5" w:rsidRPr="008A1CB5">
        <w:rPr>
          <w:rFonts w:cs="Arial"/>
        </w:rPr>
        <w:t>vv</w:t>
      </w:r>
      <w:proofErr w:type="spellEnd"/>
      <w:r w:rsidR="008A1CB5" w:rsidRPr="008A1CB5">
        <w:rPr>
          <w:rFonts w:cs="Arial"/>
        </w:rPr>
        <w:t>), and (</w:t>
      </w:r>
      <w:proofErr w:type="spellStart"/>
      <w:r w:rsidR="008A1CB5" w:rsidRPr="008A1CB5">
        <w:rPr>
          <w:rFonts w:cs="Arial"/>
        </w:rPr>
        <w:t>ww</w:t>
      </w:r>
      <w:proofErr w:type="spellEnd"/>
      <w:r w:rsidR="008A1CB5" w:rsidRPr="008A1CB5">
        <w:rPr>
          <w:rFonts w:cs="Arial"/>
        </w:rPr>
        <w:t>) are deleted and replaced with the following:</w:t>
      </w:r>
    </w:p>
    <w:p w14:paraId="4A896C8C" w14:textId="77777777" w:rsidR="008A1CB5" w:rsidRPr="008A1CB5" w:rsidRDefault="008A1CB5" w:rsidP="008A1CB5">
      <w:pPr>
        <w:ind w:left="720" w:hanging="720"/>
        <w:rPr>
          <w:rFonts w:cs="Arial"/>
        </w:rPr>
      </w:pPr>
    </w:p>
    <w:p w14:paraId="151601B7" w14:textId="77777777" w:rsidR="008A1CB5" w:rsidRPr="008A1CB5" w:rsidRDefault="008A1CB5" w:rsidP="008A1CB5">
      <w:pPr>
        <w:pStyle w:val="BodyTextIndent"/>
        <w:spacing w:after="0"/>
        <w:ind w:left="1440" w:hanging="720"/>
        <w:rPr>
          <w:rFonts w:cs="Arial"/>
        </w:rPr>
      </w:pPr>
      <w:r w:rsidRPr="008A1CB5">
        <w:rPr>
          <w:rFonts w:cs="Arial"/>
        </w:rPr>
        <w:t>(ss)</w:t>
      </w:r>
      <w:r w:rsidRPr="008A1CB5">
        <w:rPr>
          <w:rFonts w:cs="Arial"/>
        </w:rPr>
        <w:tab/>
        <w:t>Any Tax-Deferred Exchange Documentation is amended or modified without the prior written consent of Lender (other than the termination of the Tax-Deferred Exchange Documentation after the Exchange Transfer in connection with the Reverse Tax-Deferred Exchange is completed).</w:t>
      </w:r>
    </w:p>
    <w:p w14:paraId="084C8E91" w14:textId="77777777" w:rsidR="008A1CB5" w:rsidRPr="008A1CB5" w:rsidRDefault="008A1CB5" w:rsidP="008A1CB5">
      <w:pPr>
        <w:pStyle w:val="BodyTextIndent"/>
        <w:spacing w:after="0"/>
        <w:ind w:left="1440" w:firstLine="720"/>
        <w:rPr>
          <w:rFonts w:cs="Arial"/>
        </w:rPr>
      </w:pPr>
    </w:p>
    <w:p w14:paraId="7C061648" w14:textId="77777777" w:rsidR="008A1CB5" w:rsidRPr="008A1CB5" w:rsidRDefault="008A1CB5" w:rsidP="008A1CB5">
      <w:pPr>
        <w:pStyle w:val="BodyTextIndent"/>
        <w:spacing w:after="0"/>
        <w:ind w:left="1440" w:hanging="720"/>
        <w:rPr>
          <w:rFonts w:cs="Arial"/>
        </w:rPr>
      </w:pPr>
      <w:r w:rsidRPr="008A1CB5">
        <w:rPr>
          <w:rFonts w:cs="Arial"/>
        </w:rPr>
        <w:t>(</w:t>
      </w:r>
      <w:proofErr w:type="spellStart"/>
      <w:r w:rsidRPr="008A1CB5">
        <w:rPr>
          <w:rFonts w:cs="Arial"/>
        </w:rPr>
        <w:t>tt</w:t>
      </w:r>
      <w:proofErr w:type="spellEnd"/>
      <w:r w:rsidRPr="008A1CB5">
        <w:rPr>
          <w:rFonts w:cs="Arial"/>
        </w:rPr>
        <w:t>)</w:t>
      </w:r>
      <w:r w:rsidRPr="008A1CB5">
        <w:rPr>
          <w:rFonts w:cs="Arial"/>
        </w:rPr>
        <w:tab/>
        <w:t>The partnership or operating agreement of the Exchange Owner or if applicable the Exchange Owner Affiliate is amended in any material respect without the consent of the Lender, other than to reflect the transfer of the Exchange Interests from the EAT to the Exchange Owner or, if applicable, the Exchange Owner Affiliate.</w:t>
      </w:r>
    </w:p>
    <w:p w14:paraId="1091BE8C" w14:textId="77777777" w:rsidR="008A1CB5" w:rsidRPr="008A1CB5" w:rsidRDefault="008A1CB5" w:rsidP="008A1CB5">
      <w:pPr>
        <w:pStyle w:val="BodyTextIndent"/>
        <w:spacing w:after="0"/>
        <w:ind w:left="1440" w:firstLine="720"/>
        <w:rPr>
          <w:rFonts w:cs="Arial"/>
        </w:rPr>
      </w:pPr>
    </w:p>
    <w:p w14:paraId="4247B409" w14:textId="67EA19EF" w:rsidR="008A1CB5" w:rsidRPr="008A1CB5" w:rsidRDefault="008A1CB5" w:rsidP="008A1CB5">
      <w:pPr>
        <w:pStyle w:val="BodyTextIndent"/>
        <w:spacing w:after="0"/>
        <w:ind w:left="1440" w:hanging="720"/>
        <w:rPr>
          <w:rFonts w:cs="Arial"/>
        </w:rPr>
      </w:pPr>
      <w:r w:rsidRPr="008A1CB5">
        <w:rPr>
          <w:rFonts w:cs="Arial"/>
        </w:rPr>
        <w:t>(</w:t>
      </w:r>
      <w:proofErr w:type="spellStart"/>
      <w:r w:rsidRPr="008A1CB5">
        <w:rPr>
          <w:rFonts w:cs="Arial"/>
        </w:rPr>
        <w:t>uu</w:t>
      </w:r>
      <w:proofErr w:type="spellEnd"/>
      <w:r w:rsidRPr="008A1CB5">
        <w:rPr>
          <w:rFonts w:cs="Arial"/>
        </w:rPr>
        <w:t>)</w:t>
      </w:r>
      <w:r w:rsidRPr="008A1CB5">
        <w:rPr>
          <w:rFonts w:cs="Arial"/>
        </w:rPr>
        <w:tab/>
        <w:t>The EAT fails to consummate the Exchange Transfer by the date set forth in Section 7.03(a)(</w:t>
      </w:r>
      <w:r w:rsidR="00131AAB">
        <w:rPr>
          <w:rFonts w:cs="Arial"/>
        </w:rPr>
        <w:t>i</w:t>
      </w:r>
      <w:r w:rsidRPr="008A1CB5">
        <w:rPr>
          <w:rFonts w:cs="Arial"/>
        </w:rPr>
        <w:t>x).</w:t>
      </w:r>
    </w:p>
    <w:p w14:paraId="53D2996E" w14:textId="77777777" w:rsidR="008A1CB5" w:rsidRPr="008A1CB5" w:rsidRDefault="008A1CB5" w:rsidP="008A1CB5">
      <w:pPr>
        <w:pStyle w:val="BodyTextIndent"/>
        <w:spacing w:after="0"/>
        <w:ind w:left="1440" w:firstLine="720"/>
        <w:rPr>
          <w:rFonts w:cs="Arial"/>
        </w:rPr>
      </w:pPr>
    </w:p>
    <w:p w14:paraId="5154FAD5" w14:textId="77777777" w:rsidR="008A1CB5" w:rsidRPr="008A1CB5" w:rsidRDefault="008A1CB5" w:rsidP="008A1CB5">
      <w:pPr>
        <w:tabs>
          <w:tab w:val="left" w:pos="2160"/>
        </w:tabs>
        <w:ind w:left="1440" w:hanging="720"/>
        <w:rPr>
          <w:rFonts w:cs="Arial"/>
        </w:rPr>
      </w:pPr>
      <w:r w:rsidRPr="008A1CB5">
        <w:rPr>
          <w:rFonts w:cs="Arial"/>
        </w:rPr>
        <w:t>(</w:t>
      </w:r>
      <w:proofErr w:type="spellStart"/>
      <w:r w:rsidRPr="008A1CB5">
        <w:rPr>
          <w:rFonts w:cs="Arial"/>
        </w:rPr>
        <w:t>vv</w:t>
      </w:r>
      <w:proofErr w:type="spellEnd"/>
      <w:r w:rsidRPr="008A1CB5">
        <w:rPr>
          <w:rFonts w:cs="Arial"/>
        </w:rPr>
        <w:t>)</w:t>
      </w:r>
      <w:r w:rsidRPr="008A1CB5">
        <w:rPr>
          <w:rFonts w:cs="Arial"/>
        </w:rPr>
        <w:tab/>
        <w:t>Any lien or pledge of the Exchange Interests is not released on or prior to the date of the Exchange Transfer.</w:t>
      </w:r>
    </w:p>
    <w:p w14:paraId="4427B078" w14:textId="77777777" w:rsidR="008A1CB5" w:rsidRPr="008A1CB5" w:rsidRDefault="008A1CB5" w:rsidP="008A1CB5">
      <w:pPr>
        <w:tabs>
          <w:tab w:val="left" w:pos="2160"/>
        </w:tabs>
        <w:ind w:left="1440"/>
        <w:rPr>
          <w:rFonts w:cs="Arial"/>
        </w:rPr>
      </w:pPr>
    </w:p>
    <w:p w14:paraId="41A9C56F" w14:textId="77777777" w:rsidR="008A1CB5" w:rsidRPr="008A1CB5" w:rsidRDefault="008A1CB5" w:rsidP="008A1CB5">
      <w:pPr>
        <w:pStyle w:val="BodyTextIndent"/>
        <w:spacing w:after="0"/>
        <w:ind w:left="1440" w:hanging="720"/>
        <w:rPr>
          <w:rFonts w:cs="Arial"/>
        </w:rPr>
      </w:pPr>
      <w:r w:rsidRPr="008A1CB5">
        <w:rPr>
          <w:rFonts w:cs="Arial"/>
        </w:rPr>
        <w:t>(</w:t>
      </w:r>
      <w:proofErr w:type="spellStart"/>
      <w:r w:rsidRPr="008A1CB5">
        <w:rPr>
          <w:rFonts w:cs="Arial"/>
        </w:rPr>
        <w:t>ww</w:t>
      </w:r>
      <w:proofErr w:type="spellEnd"/>
      <w:r w:rsidRPr="008A1CB5">
        <w:rPr>
          <w:rFonts w:cs="Arial"/>
        </w:rPr>
        <w:t>)</w:t>
      </w:r>
      <w:r w:rsidRPr="008A1CB5">
        <w:rPr>
          <w:rFonts w:cs="Arial"/>
        </w:rPr>
        <w:tab/>
        <w:t>The Tax-Deferred Exchange Documentation is not terminated on or prior to the date of the Exchange Transfer.</w:t>
      </w:r>
    </w:p>
    <w:p w14:paraId="290804FF" w14:textId="67F157BD" w:rsidR="008A1CB5" w:rsidRDefault="008A1CB5" w:rsidP="008A1CB5">
      <w:pPr>
        <w:pStyle w:val="BodyText"/>
        <w:spacing w:after="0"/>
        <w:ind w:left="749" w:hanging="749"/>
        <w:jc w:val="left"/>
        <w:rPr>
          <w:rFonts w:ascii="Arial" w:hAnsi="Arial" w:cs="Arial"/>
          <w:sz w:val="20"/>
          <w:szCs w:val="20"/>
        </w:rPr>
      </w:pPr>
    </w:p>
    <w:p w14:paraId="30BFE938" w14:textId="77777777" w:rsidR="00074B9B" w:rsidRPr="008A1CB5" w:rsidRDefault="00074B9B" w:rsidP="008A1CB5">
      <w:pPr>
        <w:pStyle w:val="BodyText"/>
        <w:spacing w:after="0"/>
        <w:ind w:left="749" w:hanging="749"/>
        <w:jc w:val="left"/>
        <w:rPr>
          <w:rFonts w:ascii="Arial" w:hAnsi="Arial" w:cs="Arial"/>
          <w:sz w:val="20"/>
          <w:szCs w:val="20"/>
        </w:rPr>
      </w:pPr>
    </w:p>
    <w:p w14:paraId="33B48407" w14:textId="710CD0F1" w:rsidR="008A1CB5" w:rsidRPr="008A1CB5" w:rsidRDefault="0094541D" w:rsidP="00EF4032">
      <w:pPr>
        <w:pStyle w:val="BodyText"/>
        <w:keepNext/>
        <w:keepLines/>
        <w:spacing w:after="0"/>
        <w:ind w:left="749" w:hanging="749"/>
        <w:jc w:val="left"/>
        <w:rPr>
          <w:rFonts w:ascii="Arial" w:hAnsi="Arial" w:cs="Arial"/>
          <w:sz w:val="20"/>
          <w:szCs w:val="20"/>
        </w:rPr>
      </w:pPr>
      <w:r>
        <w:rPr>
          <w:rFonts w:ascii="Arial" w:hAnsi="Arial" w:cs="Arial"/>
          <w:sz w:val="20"/>
          <w:szCs w:val="20"/>
        </w:rPr>
        <w:t>I</w:t>
      </w:r>
      <w:r w:rsidR="008A1CB5" w:rsidRPr="008A1CB5">
        <w:rPr>
          <w:rFonts w:ascii="Arial" w:hAnsi="Arial" w:cs="Arial"/>
          <w:sz w:val="20"/>
          <w:szCs w:val="20"/>
        </w:rPr>
        <w:t>.</w:t>
      </w:r>
      <w:r w:rsidR="008A1CB5" w:rsidRPr="008A1CB5">
        <w:rPr>
          <w:rFonts w:ascii="Arial" w:hAnsi="Arial" w:cs="Arial"/>
          <w:sz w:val="20"/>
          <w:szCs w:val="20"/>
        </w:rPr>
        <w:tab/>
        <w:t>The following definitions are added to Article XII:</w:t>
      </w:r>
    </w:p>
    <w:p w14:paraId="2F39CEC5" w14:textId="77777777" w:rsidR="008A1CB5" w:rsidRPr="008A1CB5" w:rsidRDefault="008A1CB5" w:rsidP="00EF4032">
      <w:pPr>
        <w:pStyle w:val="BodyText"/>
        <w:keepNext/>
        <w:keepLines/>
        <w:spacing w:after="0"/>
        <w:ind w:left="749" w:hanging="749"/>
        <w:jc w:val="left"/>
        <w:rPr>
          <w:rFonts w:ascii="Arial" w:hAnsi="Arial" w:cs="Arial"/>
          <w:sz w:val="20"/>
          <w:szCs w:val="20"/>
        </w:rPr>
      </w:pPr>
    </w:p>
    <w:p w14:paraId="57BE2751" w14:textId="66E93BB9" w:rsidR="008A1CB5" w:rsidRPr="008A1CB5" w:rsidRDefault="008A1CB5" w:rsidP="008A1CB5">
      <w:pPr>
        <w:ind w:left="720"/>
        <w:rPr>
          <w:rFonts w:cs="Arial"/>
          <w:b/>
          <w:highlight w:val="yellow"/>
        </w:rPr>
      </w:pPr>
      <w:r w:rsidRPr="008A1CB5">
        <w:rPr>
          <w:rFonts w:cs="Arial"/>
        </w:rPr>
        <w:t>“</w:t>
      </w:r>
      <w:r w:rsidRPr="008A1CB5">
        <w:rPr>
          <w:rFonts w:cs="Arial"/>
          <w:b/>
        </w:rPr>
        <w:t>EAT</w:t>
      </w:r>
      <w:r w:rsidRPr="008A1CB5">
        <w:rPr>
          <w:rFonts w:cs="Arial"/>
        </w:rPr>
        <w:t>” is an Exchange Accommodation Titleholder that is a special purpose, limited liability company that owns the Exchange Interests as of the date of this Loan Agreement to facilitate the Reverse Tax-Deferred Exchange.</w:t>
      </w:r>
    </w:p>
    <w:p w14:paraId="1F4AA083" w14:textId="77777777" w:rsidR="008A1CB5" w:rsidRPr="008A1CB5" w:rsidRDefault="008A1CB5" w:rsidP="008A1CB5">
      <w:pPr>
        <w:ind w:left="1440" w:hanging="720"/>
        <w:rPr>
          <w:rFonts w:cs="Arial"/>
        </w:rPr>
      </w:pPr>
    </w:p>
    <w:p w14:paraId="0CFC973C" w14:textId="77952ED4" w:rsidR="008A1CB5" w:rsidRPr="008A1CB5" w:rsidRDefault="008A1CB5" w:rsidP="008A1CB5">
      <w:pPr>
        <w:ind w:left="1440" w:hanging="720"/>
        <w:rPr>
          <w:rFonts w:cs="Arial"/>
        </w:rPr>
      </w:pPr>
      <w:r w:rsidRPr="008A1CB5">
        <w:rPr>
          <w:rFonts w:cs="Arial"/>
        </w:rPr>
        <w:t>“</w:t>
      </w:r>
      <w:r w:rsidRPr="008A1CB5">
        <w:rPr>
          <w:rFonts w:cs="Arial"/>
          <w:b/>
          <w:bCs/>
        </w:rPr>
        <w:t>Exchange Interests</w:t>
      </w:r>
      <w:r w:rsidRPr="008A1CB5">
        <w:rPr>
          <w:rFonts w:cs="Arial"/>
        </w:rPr>
        <w:t xml:space="preserve">” are </w:t>
      </w:r>
      <w:r w:rsidR="00AB34C1">
        <w:rPr>
          <w:rFonts w:cs="Arial"/>
        </w:rPr>
        <w:t xml:space="preserve">the ownership interests specified in </w:t>
      </w:r>
      <w:r w:rsidR="00131AAB">
        <w:rPr>
          <w:rFonts w:cs="Arial"/>
        </w:rPr>
        <w:t>Section 1.05</w:t>
      </w:r>
      <w:r w:rsidR="00AB34C1">
        <w:rPr>
          <w:rFonts w:cs="Arial"/>
        </w:rPr>
        <w:t xml:space="preserve">. </w:t>
      </w:r>
    </w:p>
    <w:p w14:paraId="5142A3E0" w14:textId="77777777" w:rsidR="008A1CB5" w:rsidRPr="008A1CB5" w:rsidRDefault="008A1CB5" w:rsidP="008A1CB5">
      <w:pPr>
        <w:ind w:left="1440" w:hanging="720"/>
        <w:rPr>
          <w:rFonts w:cs="Arial"/>
          <w:b/>
          <w:bCs/>
        </w:rPr>
      </w:pPr>
    </w:p>
    <w:p w14:paraId="46456021" w14:textId="77777777"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sz w:val="20"/>
          <w:szCs w:val="20"/>
        </w:rPr>
        <w:t>Exchange Loan</w:t>
      </w:r>
      <w:r w:rsidRPr="008A1CB5">
        <w:rPr>
          <w:rFonts w:ascii="Arial" w:hAnsi="Arial" w:cs="Arial"/>
          <w:sz w:val="20"/>
          <w:szCs w:val="20"/>
        </w:rPr>
        <w:t>” is a loan to the EAT, from the Exchange Owner or the Exchange Owner Affiliate, in an amount which, when added to the proceeds of the Loan, will allow the EAT to cause the Borrower to acquire the Mortgaged Property in connection with the Reverse Tax-Deferred Exchange.</w:t>
      </w:r>
    </w:p>
    <w:p w14:paraId="6E85A621" w14:textId="77777777" w:rsidR="008A1CB5" w:rsidRPr="008A1CB5" w:rsidRDefault="008A1CB5" w:rsidP="008A1CB5">
      <w:pPr>
        <w:ind w:left="720"/>
        <w:rPr>
          <w:rFonts w:cs="Arial"/>
        </w:rPr>
      </w:pPr>
    </w:p>
    <w:p w14:paraId="18433F85" w14:textId="313272FA"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bCs/>
          <w:sz w:val="20"/>
          <w:szCs w:val="20"/>
        </w:rPr>
        <w:t>Exchange Owner</w:t>
      </w:r>
      <w:r w:rsidRPr="008A1CB5">
        <w:rPr>
          <w:rFonts w:ascii="Arial" w:hAnsi="Arial" w:cs="Arial"/>
          <w:sz w:val="20"/>
          <w:szCs w:val="20"/>
        </w:rPr>
        <w:t xml:space="preserve">” is </w:t>
      </w:r>
      <w:r w:rsidR="00AB34C1">
        <w:rPr>
          <w:rFonts w:ascii="Arial" w:hAnsi="Arial" w:cs="Arial"/>
          <w:sz w:val="20"/>
          <w:szCs w:val="20"/>
        </w:rPr>
        <w:t xml:space="preserve">specified in </w:t>
      </w:r>
      <w:r w:rsidR="00131AAB">
        <w:rPr>
          <w:rFonts w:ascii="Arial" w:hAnsi="Arial" w:cs="Arial"/>
          <w:sz w:val="20"/>
          <w:szCs w:val="20"/>
        </w:rPr>
        <w:t>Section 1.05</w:t>
      </w:r>
      <w:r w:rsidR="00AB34C1">
        <w:rPr>
          <w:rFonts w:ascii="Arial" w:hAnsi="Arial" w:cs="Arial"/>
          <w:sz w:val="20"/>
          <w:szCs w:val="20"/>
        </w:rPr>
        <w:t xml:space="preserve">. </w:t>
      </w:r>
      <w:r w:rsidRPr="008A1CB5">
        <w:rPr>
          <w:rFonts w:ascii="Arial" w:hAnsi="Arial" w:cs="Arial"/>
          <w:sz w:val="20"/>
          <w:szCs w:val="20"/>
        </w:rPr>
        <w:t xml:space="preserve">The Exchange Owner must own the Relinquished Property. After the Exchange Transfer, the Exchange Owner will be a Designated Entity for Transfers. </w:t>
      </w:r>
    </w:p>
    <w:p w14:paraId="66E88AC9" w14:textId="77777777" w:rsidR="008A1CB5" w:rsidRPr="008A1CB5" w:rsidRDefault="008A1CB5" w:rsidP="008A1CB5">
      <w:pPr>
        <w:pStyle w:val="BodyTextIndent3"/>
        <w:spacing w:after="0"/>
        <w:ind w:left="720"/>
        <w:rPr>
          <w:rFonts w:ascii="Arial" w:hAnsi="Arial" w:cs="Arial"/>
          <w:sz w:val="20"/>
          <w:szCs w:val="20"/>
        </w:rPr>
      </w:pPr>
    </w:p>
    <w:p w14:paraId="02212713" w14:textId="7771B350"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bCs/>
          <w:sz w:val="20"/>
          <w:szCs w:val="20"/>
        </w:rPr>
        <w:t>Exchange Owner Affiliate</w:t>
      </w:r>
      <w:r w:rsidRPr="008A1CB5">
        <w:rPr>
          <w:rFonts w:ascii="Arial" w:hAnsi="Arial" w:cs="Arial"/>
          <w:sz w:val="20"/>
          <w:szCs w:val="20"/>
        </w:rPr>
        <w:t>”</w:t>
      </w:r>
      <w:r w:rsidR="00AB34C1">
        <w:rPr>
          <w:rFonts w:ascii="Arial" w:hAnsi="Arial" w:cs="Arial"/>
          <w:sz w:val="20"/>
          <w:szCs w:val="20"/>
        </w:rPr>
        <w:t xml:space="preserve"> is</w:t>
      </w:r>
      <w:r w:rsidRPr="008A1CB5">
        <w:rPr>
          <w:rFonts w:ascii="Arial" w:hAnsi="Arial" w:cs="Arial"/>
          <w:sz w:val="20"/>
          <w:szCs w:val="20"/>
        </w:rPr>
        <w:t xml:space="preserve"> an </w:t>
      </w:r>
      <w:r w:rsidR="00AB34C1">
        <w:rPr>
          <w:rFonts w:ascii="Arial" w:hAnsi="Arial" w:cs="Arial"/>
          <w:sz w:val="20"/>
          <w:szCs w:val="20"/>
        </w:rPr>
        <w:t>A</w:t>
      </w:r>
      <w:r w:rsidRPr="008A1CB5">
        <w:rPr>
          <w:rFonts w:ascii="Arial" w:hAnsi="Arial" w:cs="Arial"/>
          <w:sz w:val="20"/>
          <w:szCs w:val="20"/>
        </w:rPr>
        <w:t>ffiliate of the Exchange Owner</w:t>
      </w:r>
      <w:r w:rsidR="00AB34C1">
        <w:rPr>
          <w:rFonts w:ascii="Arial" w:hAnsi="Arial" w:cs="Arial"/>
          <w:sz w:val="20"/>
          <w:szCs w:val="20"/>
        </w:rPr>
        <w:t xml:space="preserve"> and is specified in </w:t>
      </w:r>
      <w:r w:rsidR="00131AAB">
        <w:rPr>
          <w:rFonts w:ascii="Arial" w:hAnsi="Arial" w:cs="Arial"/>
          <w:sz w:val="20"/>
          <w:szCs w:val="20"/>
        </w:rPr>
        <w:t>Section 1.05</w:t>
      </w:r>
      <w:r w:rsidRPr="008A1CB5">
        <w:rPr>
          <w:rFonts w:ascii="Arial" w:hAnsi="Arial" w:cs="Arial"/>
          <w:sz w:val="20"/>
          <w:szCs w:val="20"/>
        </w:rPr>
        <w:t xml:space="preserve">. The Exchange Owner Affiliate must acquire 100% of the Exchange Interests in the event the Reverse Tax-Deferred Exchange does not occur. After the Exchange Transfer, the Exchange Owner Affiliate will be a Designated Entity for Transfers. </w:t>
      </w:r>
    </w:p>
    <w:p w14:paraId="4CE4C683" w14:textId="77777777" w:rsidR="008A1CB5" w:rsidRPr="008A1CB5" w:rsidRDefault="008A1CB5" w:rsidP="008A1CB5">
      <w:pPr>
        <w:pStyle w:val="BodyTextIndent3"/>
        <w:spacing w:after="0"/>
        <w:ind w:left="720"/>
        <w:rPr>
          <w:rFonts w:ascii="Arial" w:hAnsi="Arial" w:cs="Arial"/>
          <w:sz w:val="20"/>
          <w:szCs w:val="20"/>
        </w:rPr>
      </w:pPr>
    </w:p>
    <w:p w14:paraId="7FA07BC9" w14:textId="5FF903BD"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bCs/>
          <w:sz w:val="20"/>
          <w:szCs w:val="20"/>
        </w:rPr>
        <w:t>Exchange Termination Date</w:t>
      </w:r>
      <w:r w:rsidRPr="008A1CB5">
        <w:rPr>
          <w:rFonts w:ascii="Arial" w:hAnsi="Arial" w:cs="Arial"/>
          <w:sz w:val="20"/>
          <w:szCs w:val="20"/>
        </w:rPr>
        <w:t xml:space="preserve">” is </w:t>
      </w:r>
      <w:r w:rsidR="00AB34C1">
        <w:rPr>
          <w:rFonts w:ascii="Arial" w:hAnsi="Arial" w:cs="Arial"/>
          <w:sz w:val="20"/>
          <w:szCs w:val="20"/>
        </w:rPr>
        <w:t xml:space="preserve">as specified in </w:t>
      </w:r>
      <w:r w:rsidR="00131AAB">
        <w:rPr>
          <w:rFonts w:ascii="Arial" w:hAnsi="Arial" w:cs="Arial"/>
          <w:sz w:val="20"/>
          <w:szCs w:val="20"/>
        </w:rPr>
        <w:t>Section 1.05</w:t>
      </w:r>
      <w:r w:rsidR="00AB34C1">
        <w:rPr>
          <w:rFonts w:ascii="Arial" w:hAnsi="Arial" w:cs="Arial"/>
          <w:sz w:val="20"/>
          <w:szCs w:val="20"/>
        </w:rPr>
        <w:t xml:space="preserve">. </w:t>
      </w:r>
    </w:p>
    <w:p w14:paraId="4AB9C9F3" w14:textId="77777777" w:rsidR="008A1CB5" w:rsidRPr="008A1CB5" w:rsidRDefault="008A1CB5" w:rsidP="008A1CB5">
      <w:pPr>
        <w:pStyle w:val="BodyTextIndent3"/>
        <w:spacing w:after="0"/>
        <w:ind w:left="720"/>
        <w:rPr>
          <w:rFonts w:ascii="Arial" w:hAnsi="Arial" w:cs="Arial"/>
          <w:sz w:val="20"/>
          <w:szCs w:val="20"/>
        </w:rPr>
      </w:pPr>
    </w:p>
    <w:p w14:paraId="548559E6" w14:textId="04DD26FC"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b/>
          <w:sz w:val="20"/>
          <w:szCs w:val="20"/>
        </w:rPr>
        <w:t>“Exchange Transfer</w:t>
      </w:r>
      <w:r w:rsidRPr="008A1CB5">
        <w:rPr>
          <w:rFonts w:ascii="Arial" w:hAnsi="Arial" w:cs="Arial"/>
          <w:sz w:val="20"/>
          <w:szCs w:val="20"/>
        </w:rPr>
        <w:t xml:space="preserve">” means the Transfer </w:t>
      </w:r>
      <w:r w:rsidR="00AB34C1">
        <w:rPr>
          <w:rFonts w:ascii="Arial" w:hAnsi="Arial" w:cs="Arial"/>
          <w:sz w:val="20"/>
          <w:szCs w:val="20"/>
        </w:rPr>
        <w:t xml:space="preserve">of </w:t>
      </w:r>
      <w:r w:rsidRPr="008A1CB5">
        <w:rPr>
          <w:rFonts w:ascii="Arial" w:hAnsi="Arial" w:cs="Arial"/>
          <w:sz w:val="20"/>
          <w:szCs w:val="20"/>
        </w:rPr>
        <w:t xml:space="preserve">all the Exchange Interests to the Exchange Owner or the Exchange Owner Affiliate. </w:t>
      </w:r>
    </w:p>
    <w:p w14:paraId="1AD6B89B" w14:textId="77777777" w:rsidR="008A1CB5" w:rsidRPr="008A1CB5" w:rsidRDefault="008A1CB5" w:rsidP="008A1CB5">
      <w:pPr>
        <w:pStyle w:val="BodyTextIndent3"/>
        <w:spacing w:after="0"/>
        <w:ind w:left="720"/>
        <w:rPr>
          <w:rFonts w:ascii="Arial" w:hAnsi="Arial" w:cs="Arial"/>
          <w:sz w:val="20"/>
          <w:szCs w:val="20"/>
        </w:rPr>
      </w:pPr>
    </w:p>
    <w:p w14:paraId="3A74C2F0" w14:textId="6F115747"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bCs/>
          <w:sz w:val="20"/>
          <w:szCs w:val="20"/>
        </w:rPr>
        <w:t>Qualified Intermediary</w:t>
      </w:r>
      <w:r w:rsidRPr="008A1CB5">
        <w:rPr>
          <w:rFonts w:ascii="Arial" w:hAnsi="Arial" w:cs="Arial"/>
          <w:sz w:val="20"/>
          <w:szCs w:val="20"/>
        </w:rPr>
        <w:t xml:space="preserve">” is </w:t>
      </w:r>
      <w:r w:rsidR="007B0C54">
        <w:rPr>
          <w:rFonts w:ascii="Arial" w:hAnsi="Arial" w:cs="Arial"/>
          <w:sz w:val="20"/>
          <w:szCs w:val="20"/>
        </w:rPr>
        <w:t xml:space="preserve">as </w:t>
      </w:r>
      <w:r w:rsidR="00AB34C1">
        <w:rPr>
          <w:rFonts w:ascii="Arial" w:hAnsi="Arial" w:cs="Arial"/>
          <w:sz w:val="20"/>
          <w:szCs w:val="20"/>
        </w:rPr>
        <w:t xml:space="preserve">specified in </w:t>
      </w:r>
      <w:r w:rsidR="00131AAB">
        <w:rPr>
          <w:rFonts w:ascii="Arial" w:hAnsi="Arial" w:cs="Arial"/>
          <w:sz w:val="20"/>
          <w:szCs w:val="20"/>
        </w:rPr>
        <w:t>Section 1.05</w:t>
      </w:r>
      <w:r w:rsidR="00AB34C1">
        <w:rPr>
          <w:rFonts w:ascii="Arial" w:hAnsi="Arial" w:cs="Arial"/>
          <w:sz w:val="20"/>
          <w:szCs w:val="20"/>
        </w:rPr>
        <w:t>.</w:t>
      </w:r>
    </w:p>
    <w:p w14:paraId="2C67469B" w14:textId="77777777" w:rsidR="008A1CB5" w:rsidRPr="008A1CB5" w:rsidRDefault="008A1CB5" w:rsidP="008A1CB5">
      <w:pPr>
        <w:pStyle w:val="BodyTextIndent3"/>
        <w:spacing w:after="0"/>
        <w:ind w:left="720"/>
        <w:rPr>
          <w:rFonts w:ascii="Arial" w:hAnsi="Arial" w:cs="Arial"/>
          <w:sz w:val="20"/>
          <w:szCs w:val="20"/>
        </w:rPr>
      </w:pPr>
    </w:p>
    <w:p w14:paraId="110C84D9" w14:textId="77777777"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sz w:val="20"/>
          <w:szCs w:val="20"/>
        </w:rPr>
        <w:t>Relinquished Property</w:t>
      </w:r>
      <w:r w:rsidRPr="008A1CB5">
        <w:rPr>
          <w:rFonts w:ascii="Arial" w:hAnsi="Arial" w:cs="Arial"/>
          <w:sz w:val="20"/>
          <w:szCs w:val="20"/>
        </w:rPr>
        <w:t>” is the to-be identified property that will be relinquished (i.e., sold by the Exchange Owner) in the Reverse Tax-Deferred Exchange.</w:t>
      </w:r>
    </w:p>
    <w:p w14:paraId="285138D3" w14:textId="77777777" w:rsidR="008A1CB5" w:rsidRPr="008A1CB5" w:rsidRDefault="008A1CB5" w:rsidP="008A1CB5">
      <w:pPr>
        <w:pStyle w:val="BodyTextIndent3"/>
        <w:spacing w:after="0"/>
        <w:ind w:left="720"/>
        <w:rPr>
          <w:rFonts w:ascii="Arial" w:hAnsi="Arial" w:cs="Arial"/>
          <w:sz w:val="20"/>
          <w:szCs w:val="20"/>
        </w:rPr>
      </w:pPr>
    </w:p>
    <w:p w14:paraId="4EFDAEC6" w14:textId="75EBE4B8"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bCs/>
          <w:sz w:val="20"/>
          <w:szCs w:val="20"/>
        </w:rPr>
        <w:t>Reverse Tax-Deferred Exchange</w:t>
      </w:r>
      <w:r w:rsidRPr="008A1CB5">
        <w:rPr>
          <w:rFonts w:ascii="Arial" w:hAnsi="Arial" w:cs="Arial"/>
          <w:sz w:val="20"/>
          <w:szCs w:val="20"/>
        </w:rPr>
        <w:t xml:space="preserve">” is a reverse tax-deferred like-kind exchange pursuant to </w:t>
      </w:r>
      <w:r w:rsidR="002C2532">
        <w:rPr>
          <w:rFonts w:ascii="Arial" w:hAnsi="Arial" w:cs="Arial"/>
          <w:sz w:val="20"/>
          <w:szCs w:val="20"/>
        </w:rPr>
        <w:t>S</w:t>
      </w:r>
      <w:r w:rsidR="002C2532" w:rsidRPr="008A1CB5">
        <w:rPr>
          <w:rFonts w:ascii="Arial" w:hAnsi="Arial" w:cs="Arial"/>
          <w:sz w:val="20"/>
          <w:szCs w:val="20"/>
        </w:rPr>
        <w:t>ection</w:t>
      </w:r>
      <w:r w:rsidR="002C2532">
        <w:rPr>
          <w:rFonts w:ascii="Arial" w:hAnsi="Arial" w:cs="Arial"/>
          <w:sz w:val="20"/>
          <w:szCs w:val="20"/>
        </w:rPr>
        <w:t> </w:t>
      </w:r>
      <w:r w:rsidRPr="008A1CB5">
        <w:rPr>
          <w:rFonts w:ascii="Arial" w:hAnsi="Arial" w:cs="Arial"/>
          <w:sz w:val="20"/>
          <w:szCs w:val="20"/>
        </w:rPr>
        <w:t xml:space="preserve">1031 of the </w:t>
      </w:r>
      <w:r w:rsidR="002C2532">
        <w:rPr>
          <w:rFonts w:ascii="Arial" w:hAnsi="Arial" w:cs="Arial"/>
          <w:sz w:val="20"/>
          <w:szCs w:val="20"/>
        </w:rPr>
        <w:t xml:space="preserve">Tax Code </w:t>
      </w:r>
      <w:r w:rsidRPr="008A1CB5">
        <w:rPr>
          <w:rFonts w:ascii="Arial" w:hAnsi="Arial" w:cs="Arial"/>
          <w:sz w:val="20"/>
          <w:szCs w:val="20"/>
        </w:rPr>
        <w:t>and Revenue Procedure 2000 - Section 1031.</w:t>
      </w:r>
    </w:p>
    <w:p w14:paraId="7526BDA4" w14:textId="77777777" w:rsidR="008A1CB5" w:rsidRPr="008A1CB5" w:rsidRDefault="008A1CB5" w:rsidP="008A1CB5">
      <w:pPr>
        <w:pStyle w:val="BodyTextIndent3"/>
        <w:spacing w:after="0"/>
        <w:ind w:left="720"/>
        <w:rPr>
          <w:rFonts w:ascii="Arial" w:hAnsi="Arial" w:cs="Arial"/>
          <w:sz w:val="20"/>
          <w:szCs w:val="20"/>
        </w:rPr>
      </w:pPr>
    </w:p>
    <w:p w14:paraId="6A462301" w14:textId="77777777" w:rsidR="008A1CB5" w:rsidRPr="008A1CB5" w:rsidRDefault="008A1CB5" w:rsidP="008A1CB5">
      <w:pPr>
        <w:pStyle w:val="BodyTextIndent3"/>
        <w:spacing w:after="0"/>
        <w:ind w:left="720"/>
        <w:rPr>
          <w:rFonts w:ascii="Arial" w:hAnsi="Arial" w:cs="Arial"/>
          <w:sz w:val="20"/>
          <w:szCs w:val="20"/>
        </w:rPr>
      </w:pPr>
      <w:r w:rsidRPr="008A1CB5">
        <w:rPr>
          <w:rFonts w:ascii="Arial" w:hAnsi="Arial" w:cs="Arial"/>
          <w:sz w:val="20"/>
          <w:szCs w:val="20"/>
        </w:rPr>
        <w:t>“</w:t>
      </w:r>
      <w:r w:rsidRPr="008A1CB5">
        <w:rPr>
          <w:rFonts w:ascii="Arial" w:hAnsi="Arial" w:cs="Arial"/>
          <w:b/>
          <w:sz w:val="20"/>
          <w:szCs w:val="20"/>
        </w:rPr>
        <w:t>Tax-Deferred Exchange Documentation</w:t>
      </w:r>
      <w:r w:rsidRPr="008A1CB5">
        <w:rPr>
          <w:rFonts w:ascii="Arial" w:hAnsi="Arial" w:cs="Arial"/>
          <w:sz w:val="20"/>
          <w:szCs w:val="20"/>
        </w:rPr>
        <w:t xml:space="preserve">” consists of the following: </w:t>
      </w:r>
    </w:p>
    <w:p w14:paraId="1FB9C2E5" w14:textId="77777777" w:rsidR="008A1CB5" w:rsidRPr="008A1CB5" w:rsidRDefault="008A1CB5" w:rsidP="008A1CB5">
      <w:pPr>
        <w:pStyle w:val="BodyTextIndent3"/>
        <w:spacing w:after="0"/>
        <w:ind w:left="720"/>
        <w:rPr>
          <w:rFonts w:ascii="Arial" w:hAnsi="Arial" w:cs="Arial"/>
          <w:sz w:val="20"/>
          <w:szCs w:val="20"/>
        </w:rPr>
      </w:pPr>
    </w:p>
    <w:p w14:paraId="34768363" w14:textId="77777777" w:rsidR="008A1CB5" w:rsidRPr="008A1CB5" w:rsidRDefault="008A1CB5" w:rsidP="008A1CB5">
      <w:pPr>
        <w:pStyle w:val="BodyTextIndent3"/>
        <w:tabs>
          <w:tab w:val="left" w:pos="3600"/>
        </w:tabs>
        <w:spacing w:after="0"/>
        <w:ind w:left="2160" w:hanging="720"/>
        <w:rPr>
          <w:rFonts w:ascii="Arial" w:hAnsi="Arial" w:cs="Arial"/>
          <w:sz w:val="20"/>
          <w:szCs w:val="20"/>
        </w:rPr>
      </w:pPr>
      <w:r w:rsidRPr="008A1CB5">
        <w:rPr>
          <w:rFonts w:ascii="Arial" w:hAnsi="Arial" w:cs="Arial"/>
          <w:sz w:val="20"/>
          <w:szCs w:val="20"/>
        </w:rPr>
        <w:t>(i)</w:t>
      </w:r>
      <w:r w:rsidRPr="008A1CB5">
        <w:rPr>
          <w:rFonts w:ascii="Arial" w:hAnsi="Arial" w:cs="Arial"/>
          <w:sz w:val="20"/>
          <w:szCs w:val="20"/>
        </w:rPr>
        <w:tab/>
        <w:t>“</w:t>
      </w:r>
      <w:r w:rsidRPr="008A1CB5">
        <w:rPr>
          <w:rFonts w:ascii="Arial" w:hAnsi="Arial" w:cs="Arial"/>
          <w:b/>
          <w:sz w:val="20"/>
          <w:szCs w:val="20"/>
        </w:rPr>
        <w:t>Qualified Exchange Accommodation Agreement</w:t>
      </w:r>
      <w:r w:rsidRPr="008A1CB5">
        <w:rPr>
          <w:rFonts w:ascii="Arial" w:hAnsi="Arial" w:cs="Arial"/>
          <w:sz w:val="20"/>
          <w:szCs w:val="20"/>
        </w:rPr>
        <w:t>” is the agreement between the Qualified Intermediary/EAT and the Exchange Owner.</w:t>
      </w:r>
    </w:p>
    <w:p w14:paraId="419B4FA5" w14:textId="77777777" w:rsidR="008A1CB5" w:rsidRPr="008A1CB5" w:rsidRDefault="008A1CB5" w:rsidP="008A1CB5">
      <w:pPr>
        <w:pStyle w:val="BodyTextIndent3"/>
        <w:tabs>
          <w:tab w:val="left" w:pos="3600"/>
        </w:tabs>
        <w:spacing w:after="0"/>
        <w:ind w:left="2160" w:hanging="720"/>
        <w:rPr>
          <w:rFonts w:ascii="Arial" w:hAnsi="Arial" w:cs="Arial"/>
          <w:sz w:val="20"/>
          <w:szCs w:val="20"/>
        </w:rPr>
      </w:pPr>
    </w:p>
    <w:p w14:paraId="7E4B4F3E" w14:textId="77777777" w:rsidR="008A1CB5" w:rsidRPr="008A1CB5" w:rsidRDefault="008A1CB5" w:rsidP="008A1CB5">
      <w:pPr>
        <w:pStyle w:val="BodyTextIndent3"/>
        <w:tabs>
          <w:tab w:val="left" w:pos="3600"/>
        </w:tabs>
        <w:spacing w:after="0"/>
        <w:ind w:left="2160" w:hanging="720"/>
        <w:rPr>
          <w:rFonts w:ascii="Arial" w:hAnsi="Arial" w:cs="Arial"/>
          <w:sz w:val="20"/>
          <w:szCs w:val="20"/>
        </w:rPr>
      </w:pPr>
      <w:r w:rsidRPr="008A1CB5">
        <w:rPr>
          <w:rFonts w:ascii="Arial" w:hAnsi="Arial" w:cs="Arial"/>
          <w:sz w:val="20"/>
          <w:szCs w:val="20"/>
        </w:rPr>
        <w:t>(ii)</w:t>
      </w:r>
      <w:r w:rsidRPr="008A1CB5">
        <w:rPr>
          <w:rFonts w:ascii="Arial" w:hAnsi="Arial" w:cs="Arial"/>
          <w:sz w:val="20"/>
          <w:szCs w:val="20"/>
        </w:rPr>
        <w:tab/>
        <w:t>“</w:t>
      </w:r>
      <w:r w:rsidRPr="008A1CB5">
        <w:rPr>
          <w:rFonts w:ascii="Arial" w:hAnsi="Arial" w:cs="Arial"/>
          <w:b/>
          <w:sz w:val="20"/>
          <w:szCs w:val="20"/>
        </w:rPr>
        <w:t>Master Lease</w:t>
      </w:r>
      <w:r w:rsidRPr="008A1CB5">
        <w:rPr>
          <w:rFonts w:ascii="Arial" w:hAnsi="Arial" w:cs="Arial"/>
          <w:sz w:val="20"/>
          <w:szCs w:val="20"/>
        </w:rPr>
        <w:t>” is the master lease between the Borrower, as lessor, and the Exchange Owner, as lessee of 100% of the Mortgaged Property.</w:t>
      </w:r>
    </w:p>
    <w:p w14:paraId="2A2C09B7" w14:textId="77777777" w:rsidR="008A1CB5" w:rsidRPr="008A1CB5" w:rsidRDefault="008A1CB5" w:rsidP="008A1CB5">
      <w:pPr>
        <w:pStyle w:val="BodyTextIndent3"/>
        <w:tabs>
          <w:tab w:val="left" w:pos="3600"/>
        </w:tabs>
        <w:spacing w:after="0"/>
        <w:ind w:left="2160" w:hanging="720"/>
        <w:rPr>
          <w:rFonts w:ascii="Arial" w:hAnsi="Arial" w:cs="Arial"/>
          <w:sz w:val="20"/>
          <w:szCs w:val="20"/>
        </w:rPr>
      </w:pPr>
    </w:p>
    <w:p w14:paraId="767D859F" w14:textId="77777777" w:rsidR="008A1CB5" w:rsidRPr="008A1CB5" w:rsidRDefault="008A1CB5" w:rsidP="008A1CB5">
      <w:pPr>
        <w:pStyle w:val="BodyTextIndent"/>
        <w:tabs>
          <w:tab w:val="left" w:pos="3600"/>
        </w:tabs>
        <w:spacing w:after="0"/>
        <w:ind w:left="2160" w:hanging="720"/>
        <w:rPr>
          <w:rFonts w:cs="Arial"/>
        </w:rPr>
      </w:pPr>
      <w:r w:rsidRPr="008A1CB5">
        <w:rPr>
          <w:rFonts w:cs="Arial"/>
        </w:rPr>
        <w:t>(iii)</w:t>
      </w:r>
      <w:r w:rsidRPr="008A1CB5">
        <w:rPr>
          <w:rFonts w:cs="Arial"/>
        </w:rPr>
        <w:tab/>
        <w:t>“</w:t>
      </w:r>
      <w:r w:rsidRPr="008A1CB5">
        <w:rPr>
          <w:rFonts w:cs="Arial"/>
          <w:b/>
        </w:rPr>
        <w:t>Subordination Agreement</w:t>
      </w:r>
      <w:r w:rsidRPr="008A1CB5">
        <w:rPr>
          <w:rFonts w:cs="Arial"/>
        </w:rPr>
        <w:t>” is the agreement from Borrower in favor of Lender, pursuant to which Borrower subordinates the Master Lease to the lien of the Security Instrument and to all other interests of Lender under the Loan Documents.</w:t>
      </w:r>
    </w:p>
    <w:p w14:paraId="487C244A" w14:textId="77777777" w:rsidR="008A1CB5" w:rsidRPr="008A1CB5" w:rsidRDefault="008A1CB5" w:rsidP="008A1CB5">
      <w:pPr>
        <w:pStyle w:val="BodyTextIndent"/>
        <w:tabs>
          <w:tab w:val="left" w:pos="3600"/>
        </w:tabs>
        <w:spacing w:after="0"/>
        <w:ind w:left="2160" w:hanging="720"/>
        <w:rPr>
          <w:rFonts w:cs="Arial"/>
        </w:rPr>
      </w:pPr>
    </w:p>
    <w:p w14:paraId="5D890AB7" w14:textId="77777777" w:rsidR="008A1CB5" w:rsidRPr="008A1CB5" w:rsidRDefault="008A1CB5" w:rsidP="008A1CB5">
      <w:pPr>
        <w:pStyle w:val="BodyTextIndent"/>
        <w:tabs>
          <w:tab w:val="left" w:pos="3600"/>
        </w:tabs>
        <w:spacing w:after="0"/>
        <w:ind w:left="2160" w:hanging="720"/>
        <w:rPr>
          <w:rFonts w:cs="Arial"/>
        </w:rPr>
      </w:pPr>
      <w:r w:rsidRPr="008A1CB5">
        <w:rPr>
          <w:rFonts w:cs="Arial"/>
        </w:rPr>
        <w:t>(iv)</w:t>
      </w:r>
      <w:r w:rsidRPr="008A1CB5">
        <w:rPr>
          <w:rFonts w:cs="Arial"/>
        </w:rPr>
        <w:tab/>
        <w:t>“</w:t>
      </w:r>
      <w:r w:rsidRPr="008A1CB5">
        <w:rPr>
          <w:rFonts w:cs="Arial"/>
          <w:b/>
        </w:rPr>
        <w:t>Security Agreement and Assignment of Leases, Rents and Fixture Filing</w:t>
      </w:r>
      <w:r w:rsidRPr="008A1CB5">
        <w:rPr>
          <w:rFonts w:cs="Arial"/>
        </w:rPr>
        <w:t xml:space="preserve">” is an assignment from the Exchange Owner in favor of Borrower with respect to the leases with the subtenants and the rents from the subtenants payable to the Exchange Owner under the Master Lease. </w:t>
      </w:r>
    </w:p>
    <w:p w14:paraId="6D6CF488" w14:textId="77777777" w:rsidR="008A1CB5" w:rsidRPr="008A1CB5" w:rsidRDefault="008A1CB5" w:rsidP="008A1CB5">
      <w:pPr>
        <w:pStyle w:val="BodyTextIndent"/>
        <w:tabs>
          <w:tab w:val="left" w:pos="3600"/>
        </w:tabs>
        <w:spacing w:after="0"/>
        <w:ind w:left="2160" w:hanging="720"/>
        <w:rPr>
          <w:rFonts w:cs="Arial"/>
        </w:rPr>
      </w:pPr>
    </w:p>
    <w:p w14:paraId="07EDEE62" w14:textId="77777777" w:rsidR="008A1CB5" w:rsidRPr="008A1CB5" w:rsidRDefault="008A1CB5" w:rsidP="008A1CB5">
      <w:pPr>
        <w:pStyle w:val="BodyTextIndent"/>
        <w:tabs>
          <w:tab w:val="left" w:pos="3600"/>
        </w:tabs>
        <w:spacing w:after="0"/>
        <w:ind w:left="2160" w:hanging="720"/>
        <w:rPr>
          <w:rFonts w:cs="Arial"/>
        </w:rPr>
      </w:pPr>
      <w:r w:rsidRPr="008A1CB5">
        <w:rPr>
          <w:rFonts w:cs="Arial"/>
        </w:rPr>
        <w:t>(v)</w:t>
      </w:r>
      <w:r w:rsidRPr="008A1CB5">
        <w:rPr>
          <w:rFonts w:cs="Arial"/>
        </w:rPr>
        <w:tab/>
        <w:t>“</w:t>
      </w:r>
      <w:r w:rsidRPr="008A1CB5">
        <w:rPr>
          <w:rFonts w:cs="Arial"/>
          <w:b/>
        </w:rPr>
        <w:t>Collateral Assignment of Security Agreement and Assignment of Leases and Rents and Fixture Filing</w:t>
      </w:r>
      <w:r w:rsidRPr="008A1CB5">
        <w:rPr>
          <w:rFonts w:cs="Arial"/>
        </w:rPr>
        <w:t xml:space="preserve">” is an assignment of the Exchange Owner Assignment of Leases and Rents by the Borrower in favor of Lender.  </w:t>
      </w:r>
    </w:p>
    <w:p w14:paraId="4DDEEB82" w14:textId="77777777" w:rsidR="008A1CB5" w:rsidRPr="008A1CB5" w:rsidRDefault="008A1CB5" w:rsidP="008A1CB5">
      <w:pPr>
        <w:pStyle w:val="BodyTextIndent"/>
        <w:tabs>
          <w:tab w:val="left" w:pos="3600"/>
        </w:tabs>
        <w:spacing w:after="0"/>
        <w:ind w:left="2160" w:hanging="720"/>
        <w:rPr>
          <w:rFonts w:cs="Arial"/>
        </w:rPr>
      </w:pPr>
    </w:p>
    <w:p w14:paraId="7BFDC61F" w14:textId="77777777" w:rsidR="008A1CB5" w:rsidRPr="008A1CB5" w:rsidRDefault="008A1CB5" w:rsidP="008A1CB5">
      <w:pPr>
        <w:pStyle w:val="BodyTextIndent"/>
        <w:tabs>
          <w:tab w:val="left" w:pos="3600"/>
        </w:tabs>
        <w:spacing w:after="0"/>
        <w:ind w:left="2160" w:hanging="720"/>
        <w:rPr>
          <w:rFonts w:cs="Arial"/>
        </w:rPr>
      </w:pPr>
      <w:r w:rsidRPr="008A1CB5">
        <w:rPr>
          <w:rFonts w:cs="Arial"/>
        </w:rPr>
        <w:lastRenderedPageBreak/>
        <w:t>(vi)</w:t>
      </w:r>
      <w:r w:rsidRPr="008A1CB5">
        <w:rPr>
          <w:rFonts w:cs="Arial"/>
        </w:rPr>
        <w:tab/>
        <w:t>“</w:t>
      </w:r>
      <w:r w:rsidRPr="008A1CB5">
        <w:rPr>
          <w:rFonts w:cs="Arial"/>
          <w:b/>
        </w:rPr>
        <w:t>Collateral Assignment of Management Agreement and Subordination of Management Fees</w:t>
      </w:r>
      <w:r w:rsidRPr="008A1CB5">
        <w:rPr>
          <w:rFonts w:cs="Arial"/>
        </w:rPr>
        <w:t>” is an assignment of the Management Agreement by the Exchange Owner and the Property Manager in favor of Lender.</w:t>
      </w:r>
    </w:p>
    <w:p w14:paraId="51A682AE" w14:textId="77777777" w:rsidR="008A1CB5" w:rsidRPr="008A1CB5" w:rsidRDefault="008A1CB5" w:rsidP="008A1CB5">
      <w:pPr>
        <w:pStyle w:val="BodyTextIndent"/>
        <w:tabs>
          <w:tab w:val="left" w:pos="3600"/>
        </w:tabs>
        <w:spacing w:after="0"/>
        <w:ind w:left="2160" w:hanging="720"/>
        <w:rPr>
          <w:rFonts w:cs="Arial"/>
        </w:rPr>
      </w:pPr>
    </w:p>
    <w:p w14:paraId="4D92F3C5" w14:textId="2995C28A" w:rsidR="00E73FB7" w:rsidRPr="008A1CB5" w:rsidRDefault="008A1CB5" w:rsidP="00AB34C1">
      <w:pPr>
        <w:pStyle w:val="BodyTextIndent"/>
        <w:tabs>
          <w:tab w:val="left" w:pos="3600"/>
        </w:tabs>
        <w:spacing w:after="0"/>
        <w:ind w:left="2160" w:hanging="720"/>
        <w:rPr>
          <w:rFonts w:cs="Arial"/>
          <w:b/>
          <w:bCs/>
        </w:rPr>
      </w:pPr>
      <w:r w:rsidRPr="008A1CB5">
        <w:rPr>
          <w:rFonts w:cs="Arial"/>
        </w:rPr>
        <w:t>(vii)</w:t>
      </w:r>
      <w:r w:rsidRPr="008A1CB5">
        <w:rPr>
          <w:rFonts w:cs="Arial"/>
        </w:rPr>
        <w:tab/>
      </w:r>
      <w:r w:rsidR="00AB34C1">
        <w:rPr>
          <w:rFonts w:cs="Arial"/>
        </w:rPr>
        <w:t xml:space="preserve">Any other agreements, assignments, or other documentation required or otherwise </w:t>
      </w:r>
      <w:r w:rsidR="00282905">
        <w:rPr>
          <w:rFonts w:cs="Arial"/>
        </w:rPr>
        <w:t>entered into by Borrower, Exchange Owner, Exchange Owner Affiliate, or Property Manager</w:t>
      </w:r>
      <w:r w:rsidR="00AB34C1">
        <w:rPr>
          <w:rFonts w:cs="Arial"/>
        </w:rPr>
        <w:t xml:space="preserve"> in connection with the Reverse Tax Deferred Exchange. </w:t>
      </w:r>
    </w:p>
    <w:p w14:paraId="49B20F62" w14:textId="77777777" w:rsidR="00E73FB7" w:rsidRPr="005F7525" w:rsidRDefault="00E73FB7">
      <w:pPr>
        <w:rPr>
          <w:sz w:val="28"/>
          <w:szCs w:val="28"/>
        </w:rPr>
      </w:pPr>
    </w:p>
    <w:sectPr w:rsidR="00E73FB7" w:rsidRPr="005F7525" w:rsidSect="006903FD">
      <w:footerReference w:type="default" r:id="rId7"/>
      <w:foot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5CC12" w14:textId="77777777" w:rsidR="0034321A" w:rsidRDefault="0034321A" w:rsidP="000A1DF9">
    <w:pPr>
      <w:pStyle w:val="Footer"/>
      <w:tabs>
        <w:tab w:val="left" w:pos="473"/>
        <w:tab w:val="right" w:pos="10080"/>
      </w:tabs>
    </w:pPr>
  </w:p>
  <w:p w14:paraId="2813F294" w14:textId="70243B2E" w:rsidR="000A1DF9" w:rsidRDefault="000A1DF9" w:rsidP="000A1DF9">
    <w:pPr>
      <w:pStyle w:val="Footer"/>
      <w:tabs>
        <w:tab w:val="left" w:pos="473"/>
        <w:tab w:val="right" w:pos="10080"/>
      </w:tabs>
    </w:pPr>
    <w:r>
      <w:t xml:space="preserve">Rider to </w:t>
    </w:r>
    <w:r w:rsidR="0094541D">
      <w:t>Loan Agreement</w:t>
    </w:r>
    <w:r>
      <w:t xml:space="preserve"> </w:t>
    </w:r>
  </w:p>
  <w:p w14:paraId="036F8DAB" w14:textId="07780260" w:rsidR="00E73FB7" w:rsidRPr="008A1CB5" w:rsidRDefault="008A1CB5" w:rsidP="008B741A">
    <w:pPr>
      <w:shd w:val="clear" w:color="auto" w:fill="FFFFFF"/>
      <w:tabs>
        <w:tab w:val="left" w:pos="360"/>
        <w:tab w:val="left" w:pos="720"/>
        <w:tab w:val="left" w:pos="1080"/>
        <w:tab w:val="left" w:pos="1440"/>
        <w:tab w:val="right" w:pos="10080"/>
      </w:tabs>
      <w:rPr>
        <w:bCs/>
        <w:sz w:val="28"/>
        <w:szCs w:val="28"/>
      </w:rPr>
    </w:pPr>
    <w:r w:rsidRPr="008A1CB5">
      <w:rPr>
        <w:bCs/>
      </w:rPr>
      <w:t>Reverse Tax-Deferred Exchange</w:t>
    </w:r>
    <w:r>
      <w:rPr>
        <w:bCs/>
        <w:sz w:val="28"/>
        <w:szCs w:val="28"/>
      </w:rPr>
      <w:tab/>
    </w:r>
    <w:r w:rsidR="00E73FB7">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2B3CD" w14:textId="665392BB" w:rsidR="006903FD" w:rsidRPr="008A1CB5" w:rsidRDefault="006903FD" w:rsidP="008A1CB5">
    <w:pPr>
      <w:shd w:val="clear" w:color="auto" w:fill="FFFFFF"/>
      <w:tabs>
        <w:tab w:val="left" w:pos="360"/>
        <w:tab w:val="left" w:pos="720"/>
        <w:tab w:val="left" w:pos="1080"/>
        <w:tab w:val="left" w:pos="1440"/>
      </w:tabs>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27C63"/>
    <w:rsid w:val="00074B9B"/>
    <w:rsid w:val="000A1DF9"/>
    <w:rsid w:val="00131AAB"/>
    <w:rsid w:val="00282905"/>
    <w:rsid w:val="002C21E5"/>
    <w:rsid w:val="002C2532"/>
    <w:rsid w:val="0034321A"/>
    <w:rsid w:val="00387E97"/>
    <w:rsid w:val="003C341A"/>
    <w:rsid w:val="004279C3"/>
    <w:rsid w:val="00477ACE"/>
    <w:rsid w:val="004A2A34"/>
    <w:rsid w:val="004B2377"/>
    <w:rsid w:val="004D134E"/>
    <w:rsid w:val="00560E9F"/>
    <w:rsid w:val="0057121F"/>
    <w:rsid w:val="00577206"/>
    <w:rsid w:val="005F7525"/>
    <w:rsid w:val="00611784"/>
    <w:rsid w:val="006903FD"/>
    <w:rsid w:val="006A1F77"/>
    <w:rsid w:val="006D10C2"/>
    <w:rsid w:val="007B0C54"/>
    <w:rsid w:val="00814748"/>
    <w:rsid w:val="00855839"/>
    <w:rsid w:val="00880FBF"/>
    <w:rsid w:val="008845B6"/>
    <w:rsid w:val="008A1CB5"/>
    <w:rsid w:val="008B741A"/>
    <w:rsid w:val="0094541D"/>
    <w:rsid w:val="009B6484"/>
    <w:rsid w:val="00A31838"/>
    <w:rsid w:val="00A51C85"/>
    <w:rsid w:val="00AA048B"/>
    <w:rsid w:val="00AA6FE7"/>
    <w:rsid w:val="00AB34C1"/>
    <w:rsid w:val="00B604F3"/>
    <w:rsid w:val="00C008B4"/>
    <w:rsid w:val="00CA22B1"/>
    <w:rsid w:val="00D92550"/>
    <w:rsid w:val="00E73FB7"/>
    <w:rsid w:val="00EE1402"/>
    <w:rsid w:val="00EF2A33"/>
    <w:rsid w:val="00EF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Indent">
    <w:name w:val="Body Text Indent"/>
    <w:basedOn w:val="Normal"/>
    <w:link w:val="BodyTextIndentChar"/>
    <w:uiPriority w:val="99"/>
    <w:unhideWhenUsed/>
    <w:rsid w:val="008A1CB5"/>
    <w:pPr>
      <w:spacing w:after="120"/>
      <w:ind w:left="360"/>
    </w:pPr>
  </w:style>
  <w:style w:type="character" w:customStyle="1" w:styleId="BodyTextIndentChar">
    <w:name w:val="Body Text Indent Char"/>
    <w:basedOn w:val="DefaultParagraphFont"/>
    <w:link w:val="BodyTextIndent"/>
    <w:uiPriority w:val="99"/>
    <w:rsid w:val="008A1CB5"/>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8A1CB5"/>
    <w:pPr>
      <w:spacing w:after="120" w:line="480" w:lineRule="auto"/>
      <w:ind w:left="360"/>
    </w:pPr>
  </w:style>
  <w:style w:type="character" w:customStyle="1" w:styleId="BodyTextIndent2Char">
    <w:name w:val="Body Text Indent 2 Char"/>
    <w:basedOn w:val="DefaultParagraphFont"/>
    <w:link w:val="BodyTextIndent2"/>
    <w:uiPriority w:val="99"/>
    <w:semiHidden/>
    <w:rsid w:val="008A1CB5"/>
    <w:rPr>
      <w:rFonts w:eastAsia="Times New Roman" w:cs="Times New Roman"/>
      <w:color w:val="auto"/>
      <w:szCs w:val="20"/>
    </w:rPr>
  </w:style>
  <w:style w:type="paragraph" w:styleId="BodyTextIndent3">
    <w:name w:val="Body Text Indent 3"/>
    <w:basedOn w:val="Normal"/>
    <w:link w:val="BodyTextIndent3Char"/>
    <w:rsid w:val="008A1CB5"/>
    <w:pPr>
      <w:overflowPunct w:val="0"/>
      <w:autoSpaceDE w:val="0"/>
      <w:autoSpaceDN w:val="0"/>
      <w:adjustRightInd w:val="0"/>
      <w:spacing w:after="120"/>
      <w:ind w:left="360"/>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rsid w:val="008A1CB5"/>
    <w:rPr>
      <w:rFonts w:ascii="Times New Roman" w:eastAsia="Times New Roman" w:hAnsi="Times New Roman" w:cs="Times New Roman"/>
      <w:color w:val="auto"/>
      <w:sz w:val="16"/>
      <w:szCs w:val="16"/>
    </w:rPr>
  </w:style>
  <w:style w:type="paragraph" w:customStyle="1" w:styleId="CoverPageLoanNumberandName">
    <w:name w:val="Cover Page (Loan Number and Name)"/>
    <w:basedOn w:val="Normal"/>
    <w:rsid w:val="0034321A"/>
    <w:pPr>
      <w:spacing w:after="240"/>
      <w:jc w:val="both"/>
    </w:pPr>
    <w:rPr>
      <w:rFonts w:ascii="Times New Roman" w:hAnsi="Times New Roman"/>
      <w:sz w:val="24"/>
      <w:szCs w:val="24"/>
    </w:rPr>
  </w:style>
  <w:style w:type="paragraph" w:customStyle="1" w:styleId="ExDStdProvsNormal">
    <w:name w:val="ExDStdProvsNormal"/>
    <w:rsid w:val="00282905"/>
    <w:pPr>
      <w:spacing w:after="0" w:line="240" w:lineRule="auto"/>
    </w:pPr>
    <w:rPr>
      <w:rFonts w:ascii="Times New Roman" w:eastAsia="Times New Roman" w:hAnsi="Times New Roman" w:cs="Times New Roman"/>
      <w:color w:val="auto"/>
      <w:sz w:val="24"/>
      <w:szCs w:val="24"/>
    </w:rPr>
  </w:style>
  <w:style w:type="paragraph" w:styleId="BlockText">
    <w:name w:val="Block Text"/>
    <w:basedOn w:val="Normal"/>
    <w:rsid w:val="00282905"/>
    <w:pPr>
      <w:overflowPunct w:val="0"/>
      <w:autoSpaceDE w:val="0"/>
      <w:autoSpaceDN w:val="0"/>
      <w:adjustRightInd w:val="0"/>
      <w:ind w:left="2880" w:right="720" w:hanging="72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6952</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2022-06-02T12:38:00Z</dcterms:created>
  <dcterms:modified xsi:type="dcterms:W3CDTF">2022-06-02T12:38:00Z</dcterms:modified>
</cp:coreProperties>
</file>