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DA2D" w14:textId="5864A6D5" w:rsidR="00C4757C" w:rsidRPr="00BA4779" w:rsidRDefault="00C4757C" w:rsidP="00BA4779">
      <w:pPr>
        <w:jc w:val="center"/>
        <w:rPr>
          <w:rFonts w:cs="Arial"/>
          <w:b/>
          <w:sz w:val="24"/>
          <w:szCs w:val="24"/>
        </w:rPr>
      </w:pPr>
      <w:r w:rsidRPr="00BA4779">
        <w:rPr>
          <w:rFonts w:cs="Arial"/>
          <w:b/>
          <w:sz w:val="24"/>
          <w:szCs w:val="24"/>
        </w:rPr>
        <w:t xml:space="preserve">Rider to </w:t>
      </w:r>
      <w:r w:rsidR="00EA4B48">
        <w:rPr>
          <w:rFonts w:cs="Arial"/>
          <w:b/>
          <w:sz w:val="24"/>
          <w:szCs w:val="24"/>
        </w:rPr>
        <w:t>Continuing Covenant Agreement</w:t>
      </w:r>
      <w:r w:rsidR="00EE6050">
        <w:rPr>
          <w:rFonts w:cs="Arial"/>
          <w:b/>
          <w:sz w:val="24"/>
          <w:szCs w:val="24"/>
        </w:rPr>
        <w:t xml:space="preserve"> – TEL </w:t>
      </w:r>
    </w:p>
    <w:p w14:paraId="507CE263" w14:textId="58D74C46" w:rsidR="00C4757C" w:rsidRPr="00BA4779" w:rsidRDefault="00C4757C" w:rsidP="00BA4779">
      <w:pPr>
        <w:jc w:val="center"/>
        <w:rPr>
          <w:rFonts w:cs="Arial"/>
          <w:b/>
          <w:sz w:val="24"/>
          <w:szCs w:val="24"/>
        </w:rPr>
      </w:pPr>
      <w:r w:rsidRPr="00BA4779">
        <w:rPr>
          <w:rFonts w:cs="Arial"/>
          <w:b/>
          <w:sz w:val="24"/>
          <w:szCs w:val="24"/>
        </w:rPr>
        <w:t>Rental Achievement</w:t>
      </w:r>
    </w:p>
    <w:p w14:paraId="6205DB56" w14:textId="139E5E53" w:rsidR="00C4757C" w:rsidRPr="00BA4779" w:rsidRDefault="00C4757C" w:rsidP="00BA4779">
      <w:pPr>
        <w:jc w:val="center"/>
        <w:rPr>
          <w:rFonts w:cs="Arial"/>
          <w:bCs/>
        </w:rPr>
      </w:pPr>
      <w:r w:rsidRPr="00BA4779">
        <w:rPr>
          <w:rFonts w:cs="Arial"/>
          <w:bCs/>
        </w:rPr>
        <w:t xml:space="preserve">(Revised </w:t>
      </w:r>
      <w:r w:rsidR="00A76B15">
        <w:rPr>
          <w:rFonts w:cs="Arial"/>
          <w:bCs/>
        </w:rPr>
        <w:t>6-27</w:t>
      </w:r>
      <w:r w:rsidRPr="00BA4779">
        <w:rPr>
          <w:rFonts w:cs="Arial"/>
          <w:bCs/>
        </w:rPr>
        <w:t>-202</w:t>
      </w:r>
      <w:r w:rsidR="00EA4B48">
        <w:rPr>
          <w:rFonts w:cs="Arial"/>
          <w:bCs/>
        </w:rPr>
        <w:t>3</w:t>
      </w:r>
      <w:r w:rsidRPr="00BA4779">
        <w:rPr>
          <w:rFonts w:cs="Arial"/>
          <w:bCs/>
        </w:rPr>
        <w:t>)</w:t>
      </w:r>
    </w:p>
    <w:p w14:paraId="15BC5740" w14:textId="77777777" w:rsidR="00C4757C" w:rsidRDefault="00C4757C" w:rsidP="00C4757C">
      <w:pPr>
        <w:rPr>
          <w:rFonts w:cs="Arial"/>
          <w:bCs/>
          <w:sz w:val="24"/>
          <w:szCs w:val="24"/>
        </w:rPr>
      </w:pPr>
    </w:p>
    <w:p w14:paraId="1DDC9210" w14:textId="77777777" w:rsidR="00EE6050" w:rsidRDefault="00EE6050" w:rsidP="00C4757C">
      <w:pPr>
        <w:shd w:val="clear" w:color="auto" w:fill="FFFFFF"/>
        <w:tabs>
          <w:tab w:val="left" w:pos="720"/>
          <w:tab w:val="left" w:pos="1080"/>
          <w:tab w:val="left" w:pos="1440"/>
        </w:tabs>
        <w:rPr>
          <w:rFonts w:cs="Arial"/>
        </w:rPr>
      </w:pPr>
    </w:p>
    <w:p w14:paraId="756BE007" w14:textId="110F953A" w:rsidR="00C4757C" w:rsidRDefault="00C4757C" w:rsidP="00C4757C">
      <w:pPr>
        <w:shd w:val="clear" w:color="auto" w:fill="FFFFFF"/>
        <w:tabs>
          <w:tab w:val="left" w:pos="720"/>
          <w:tab w:val="left" w:pos="1080"/>
          <w:tab w:val="left" w:pos="1440"/>
        </w:tabs>
        <w:rPr>
          <w:rFonts w:cs="Arial"/>
        </w:rPr>
      </w:pPr>
      <w:r w:rsidRPr="00B330B8">
        <w:rPr>
          <w:rFonts w:cs="Arial"/>
        </w:rPr>
        <w:t xml:space="preserve">The following changes are made to the </w:t>
      </w:r>
      <w:r w:rsidR="00EA4B48">
        <w:rPr>
          <w:rFonts w:cs="Arial"/>
        </w:rPr>
        <w:t>Continuing Covenant Agreement</w:t>
      </w:r>
      <w:r w:rsidRPr="00B330B8">
        <w:rPr>
          <w:rFonts w:cs="Arial"/>
        </w:rPr>
        <w:t xml:space="preserve"> </w:t>
      </w:r>
      <w:r w:rsidR="00CD37F5">
        <w:rPr>
          <w:rFonts w:cs="Arial"/>
        </w:rPr>
        <w:t>that</w:t>
      </w:r>
      <w:r w:rsidRPr="00B330B8">
        <w:rPr>
          <w:rFonts w:cs="Arial"/>
        </w:rPr>
        <w:t xml:space="preserve"> precedes this Rider:</w:t>
      </w:r>
    </w:p>
    <w:p w14:paraId="467E6C12" w14:textId="77777777" w:rsidR="00C4757C" w:rsidRDefault="00C4757C" w:rsidP="00C4757C">
      <w:pPr>
        <w:shd w:val="clear" w:color="auto" w:fill="FFFFFF"/>
        <w:tabs>
          <w:tab w:val="left" w:pos="720"/>
          <w:tab w:val="left" w:pos="1080"/>
          <w:tab w:val="left" w:pos="1440"/>
        </w:tabs>
        <w:rPr>
          <w:rFonts w:cs="Arial"/>
        </w:rPr>
      </w:pPr>
    </w:p>
    <w:p w14:paraId="7B04CE5E" w14:textId="7AF6BDAC" w:rsidR="00C4757C" w:rsidRDefault="00C4757C" w:rsidP="00C4757C">
      <w:pPr>
        <w:shd w:val="clear" w:color="auto" w:fill="FFFFFF"/>
        <w:tabs>
          <w:tab w:val="left" w:pos="720"/>
          <w:tab w:val="left" w:pos="1080"/>
          <w:tab w:val="left" w:pos="1440"/>
        </w:tabs>
        <w:rPr>
          <w:rFonts w:cs="Arial"/>
        </w:rPr>
      </w:pPr>
      <w:r>
        <w:rPr>
          <w:rFonts w:cs="Arial"/>
        </w:rPr>
        <w:t>A.</w:t>
      </w:r>
      <w:r>
        <w:rPr>
          <w:rFonts w:cs="Arial"/>
        </w:rPr>
        <w:tab/>
      </w:r>
      <w:r w:rsidRPr="001B5CBB">
        <w:rPr>
          <w:rFonts w:cs="Arial"/>
        </w:rPr>
        <w:t xml:space="preserve">The following table is added to </w:t>
      </w:r>
      <w:r w:rsidR="00BA4779">
        <w:rPr>
          <w:rFonts w:cs="Arial"/>
        </w:rPr>
        <w:t>Section 1.03</w:t>
      </w:r>
      <w:r w:rsidRPr="001B5CBB">
        <w:rPr>
          <w:rFonts w:cs="Arial"/>
        </w:rPr>
        <w:t>:</w:t>
      </w:r>
    </w:p>
    <w:p w14:paraId="026DF891" w14:textId="77777777" w:rsidR="00C4757C" w:rsidRDefault="00C4757C" w:rsidP="00C4757C">
      <w:pPr>
        <w:shd w:val="clear" w:color="auto" w:fill="FFFFFF"/>
        <w:tabs>
          <w:tab w:val="left" w:pos="720"/>
          <w:tab w:val="left" w:pos="1080"/>
          <w:tab w:val="left" w:pos="1440"/>
        </w:tabs>
        <w:rPr>
          <w:rFonts w:cs="Arial"/>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494"/>
      </w:tblGrid>
      <w:tr w:rsidR="00C4757C" w:rsidRPr="00785F72" w14:paraId="35A2BD76" w14:textId="77777777" w:rsidTr="00A76B15">
        <w:trPr>
          <w:trHeight w:val="233"/>
        </w:trPr>
        <w:tc>
          <w:tcPr>
            <w:tcW w:w="999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4FE59570" w14:textId="5696033A" w:rsidR="00C4757C" w:rsidRPr="00785F72" w:rsidRDefault="00C4757C" w:rsidP="001C0FA3">
            <w:pPr>
              <w:spacing w:before="20" w:after="20"/>
              <w:rPr>
                <w:rFonts w:cs="Arial"/>
                <w:b/>
              </w:rPr>
            </w:pPr>
            <w:r>
              <w:rPr>
                <w:rFonts w:cs="Arial"/>
                <w:b/>
              </w:rPr>
              <w:t>Rental Achievement</w:t>
            </w:r>
          </w:p>
        </w:tc>
      </w:tr>
      <w:tr w:rsidR="00C4757C" w:rsidRPr="00785F72" w14:paraId="40DEB406" w14:textId="77777777" w:rsidTr="00A76B15">
        <w:tblPrEx>
          <w:tblLook w:val="0000" w:firstRow="0" w:lastRow="0" w:firstColumn="0" w:lastColumn="0" w:noHBand="0" w:noVBand="0"/>
        </w:tblPrEx>
        <w:trPr>
          <w:trHeight w:val="188"/>
        </w:trPr>
        <w:tc>
          <w:tcPr>
            <w:tcW w:w="9990" w:type="dxa"/>
            <w:gridSpan w:val="2"/>
            <w:tcBorders>
              <w:bottom w:val="nil"/>
            </w:tcBorders>
            <w:shd w:val="clear" w:color="auto" w:fill="auto"/>
          </w:tcPr>
          <w:p w14:paraId="3F4B2532" w14:textId="720EF4C7" w:rsidR="00C4757C" w:rsidRPr="00785F72" w:rsidRDefault="00C4757C" w:rsidP="001C0FA3">
            <w:pPr>
              <w:spacing w:before="40" w:after="40"/>
              <w:rPr>
                <w:rFonts w:eastAsia="MS Gothic" w:cs="Arial"/>
              </w:rPr>
            </w:pPr>
            <w:r w:rsidRPr="00A17CCD">
              <w:rPr>
                <w:rFonts w:eastAsia="MS Gothic" w:cs="Arial"/>
                <w:b/>
                <w:bCs/>
              </w:rPr>
              <w:t>Earn Out Expiration Date</w:t>
            </w:r>
            <w:r w:rsidRPr="00734228">
              <w:rPr>
                <w:rFonts w:eastAsia="MS Gothic" w:cs="Arial"/>
              </w:rPr>
              <w:t xml:space="preserve">: </w:t>
            </w:r>
            <w:r w:rsidR="00854F1E">
              <w:rPr>
                <w:rFonts w:eastAsia="MS Gothic" w:cs="Arial"/>
              </w:rPr>
              <w:t>_______, 20__</w:t>
            </w:r>
          </w:p>
        </w:tc>
      </w:tr>
      <w:tr w:rsidR="00C4757C" w:rsidRPr="00785F72" w14:paraId="31CA4032" w14:textId="77777777" w:rsidTr="00A76B15">
        <w:tblPrEx>
          <w:tblLook w:val="0000" w:firstRow="0" w:lastRow="0" w:firstColumn="0" w:lastColumn="0" w:noHBand="0" w:noVBand="0"/>
        </w:tblPrEx>
        <w:trPr>
          <w:trHeight w:val="56"/>
        </w:trPr>
        <w:tc>
          <w:tcPr>
            <w:tcW w:w="9990" w:type="dxa"/>
            <w:gridSpan w:val="2"/>
            <w:tcBorders>
              <w:bottom w:val="nil"/>
            </w:tcBorders>
            <w:shd w:val="clear" w:color="auto" w:fill="D0CECE" w:themeFill="background2" w:themeFillShade="E6"/>
          </w:tcPr>
          <w:p w14:paraId="43EB37D8" w14:textId="77777777" w:rsidR="00C4757C" w:rsidRPr="004B47F7" w:rsidRDefault="00C4757C" w:rsidP="001C0FA3">
            <w:pPr>
              <w:rPr>
                <w:rFonts w:eastAsia="MS Gothic" w:cs="Arial"/>
                <w:sz w:val="4"/>
                <w:szCs w:val="4"/>
              </w:rPr>
            </w:pPr>
          </w:p>
        </w:tc>
      </w:tr>
      <w:tr w:rsidR="00C4757C" w:rsidRPr="00785F72" w14:paraId="1FB84E19" w14:textId="77777777" w:rsidTr="00A76B15">
        <w:tblPrEx>
          <w:tblLook w:val="0000" w:firstRow="0" w:lastRow="0" w:firstColumn="0" w:lastColumn="0" w:noHBand="0" w:noVBand="0"/>
        </w:tblPrEx>
        <w:trPr>
          <w:trHeight w:val="107"/>
        </w:trPr>
        <w:tc>
          <w:tcPr>
            <w:tcW w:w="9990" w:type="dxa"/>
            <w:gridSpan w:val="2"/>
            <w:tcBorders>
              <w:bottom w:val="nil"/>
            </w:tcBorders>
            <w:shd w:val="clear" w:color="auto" w:fill="auto"/>
          </w:tcPr>
          <w:p w14:paraId="370D9921" w14:textId="77777777" w:rsidR="00C4757C" w:rsidRDefault="00C4757C" w:rsidP="001C0FA3">
            <w:pPr>
              <w:spacing w:before="40" w:after="40"/>
              <w:rPr>
                <w:rFonts w:eastAsia="MS Gothic" w:cs="Arial"/>
              </w:rPr>
            </w:pPr>
            <w:r>
              <w:rPr>
                <w:rFonts w:eastAsia="MS Gothic" w:cs="Arial"/>
              </w:rPr>
              <w:t xml:space="preserve">Performance Standard: </w:t>
            </w:r>
            <w:r w:rsidRPr="004B47F7">
              <w:rPr>
                <w:rFonts w:eastAsia="MS Gothic" w:cs="Arial"/>
                <w:i/>
                <w:iCs/>
                <w:sz w:val="16"/>
                <w:szCs w:val="16"/>
              </w:rPr>
              <w:t>(select one)</w:t>
            </w:r>
          </w:p>
        </w:tc>
      </w:tr>
      <w:tr w:rsidR="00C4757C" w:rsidRPr="00785F72" w14:paraId="06A26D21"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7C98D704" w14:textId="75D3957C" w:rsidR="00C4757C" w:rsidRDefault="001254BB" w:rsidP="00B11171">
            <w:pPr>
              <w:jc w:val="center"/>
              <w:rPr>
                <w:rFonts w:eastAsia="MS Gothic" w:cs="Arial"/>
              </w:rPr>
            </w:pPr>
            <w:sdt>
              <w:sdtPr>
                <w:rPr>
                  <w:rFonts w:eastAsia="MS Gothic" w:cs="Arial"/>
                  <w:bCs/>
                  <w:sz w:val="28"/>
                  <w:szCs w:val="28"/>
                </w:rPr>
                <w:id w:val="-1775545658"/>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0E7DAEAA" w14:textId="77777777" w:rsidR="00C4757C" w:rsidRDefault="00C4757C" w:rsidP="001C0FA3">
            <w:pPr>
              <w:rPr>
                <w:rFonts w:eastAsia="MS Gothic" w:cs="Arial"/>
              </w:rPr>
            </w:pPr>
            <w:r>
              <w:rPr>
                <w:rFonts w:eastAsia="MS Gothic" w:cs="Arial"/>
              </w:rPr>
              <w:t>NOI Performance Standard</w:t>
            </w:r>
          </w:p>
        </w:tc>
      </w:tr>
      <w:tr w:rsidR="00C4757C" w:rsidRPr="00785F72" w14:paraId="22AD668A"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20413566" w14:textId="47830796" w:rsidR="00C4757C" w:rsidRDefault="001254BB" w:rsidP="00B11171">
            <w:pPr>
              <w:jc w:val="center"/>
              <w:rPr>
                <w:rFonts w:eastAsia="MS Gothic" w:cs="Arial"/>
              </w:rPr>
            </w:pPr>
            <w:sdt>
              <w:sdtPr>
                <w:rPr>
                  <w:rFonts w:eastAsia="MS Gothic" w:cs="Arial"/>
                  <w:bCs/>
                  <w:sz w:val="28"/>
                  <w:szCs w:val="28"/>
                </w:rPr>
                <w:id w:val="172076969"/>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00AA5C8E" w14:textId="77777777" w:rsidR="00C4757C" w:rsidRDefault="00C4757C" w:rsidP="001C0FA3">
            <w:pPr>
              <w:rPr>
                <w:rFonts w:eastAsia="MS Gothic" w:cs="Arial"/>
              </w:rPr>
            </w:pPr>
            <w:r>
              <w:rPr>
                <w:rFonts w:eastAsia="MS Gothic" w:cs="Arial"/>
              </w:rPr>
              <w:t>Occupancy and Income Performance Standard</w:t>
            </w:r>
          </w:p>
        </w:tc>
      </w:tr>
      <w:tr w:rsidR="00C4757C" w:rsidRPr="00785F72" w14:paraId="18E7C9AF"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71438363" w14:textId="448DB4F6" w:rsidR="00C4757C" w:rsidRDefault="001254BB" w:rsidP="00B11171">
            <w:pPr>
              <w:jc w:val="center"/>
              <w:rPr>
                <w:rFonts w:eastAsia="MS Gothic" w:cs="Arial"/>
              </w:rPr>
            </w:pPr>
            <w:sdt>
              <w:sdtPr>
                <w:rPr>
                  <w:rFonts w:eastAsia="MS Gothic" w:cs="Arial"/>
                  <w:bCs/>
                  <w:sz w:val="28"/>
                  <w:szCs w:val="28"/>
                </w:rPr>
                <w:id w:val="-646208201"/>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46146EB4" w14:textId="77777777" w:rsidR="00C4757C" w:rsidRDefault="00C4757C" w:rsidP="001C0FA3">
            <w:pPr>
              <w:rPr>
                <w:rFonts w:eastAsia="MS Gothic" w:cs="Arial"/>
              </w:rPr>
            </w:pPr>
            <w:r>
              <w:rPr>
                <w:rFonts w:eastAsia="MS Gothic" w:cs="Arial"/>
              </w:rPr>
              <w:t xml:space="preserve">Occupancy, Income, and NOI Performance Standard </w:t>
            </w:r>
          </w:p>
        </w:tc>
      </w:tr>
      <w:tr w:rsidR="00C4757C" w:rsidRPr="00785F72" w14:paraId="630D968A" w14:textId="77777777" w:rsidTr="00A76B15">
        <w:tblPrEx>
          <w:tblLook w:val="0000" w:firstRow="0" w:lastRow="0" w:firstColumn="0" w:lastColumn="0" w:noHBand="0" w:noVBand="0"/>
        </w:tblPrEx>
        <w:trPr>
          <w:trHeight w:val="350"/>
        </w:trPr>
        <w:tc>
          <w:tcPr>
            <w:tcW w:w="9990" w:type="dxa"/>
            <w:gridSpan w:val="2"/>
            <w:tcBorders>
              <w:bottom w:val="nil"/>
            </w:tcBorders>
            <w:shd w:val="clear" w:color="auto" w:fill="auto"/>
            <w:vAlign w:val="center"/>
          </w:tcPr>
          <w:p w14:paraId="0F30ED55" w14:textId="77777777" w:rsidR="00C4757C" w:rsidRDefault="00C4757C" w:rsidP="001C0FA3">
            <w:pPr>
              <w:rPr>
                <w:rFonts w:eastAsia="MS Gothic" w:cs="Arial"/>
              </w:rPr>
            </w:pPr>
            <w:r>
              <w:rPr>
                <w:rFonts w:eastAsia="MS Gothic" w:cs="Arial"/>
              </w:rPr>
              <w:t xml:space="preserve">Performance Standard Evaluation Period: </w:t>
            </w:r>
            <w:r w:rsidRPr="00297E4F">
              <w:rPr>
                <w:rFonts w:eastAsia="MS Gothic" w:cs="Arial"/>
                <w:i/>
                <w:iCs/>
                <w:sz w:val="16"/>
                <w:szCs w:val="16"/>
              </w:rPr>
              <w:t>(select one)</w:t>
            </w:r>
          </w:p>
        </w:tc>
      </w:tr>
      <w:tr w:rsidR="00C4757C" w:rsidRPr="00785F72" w14:paraId="17382611"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1B5522F9" w14:textId="4AC0FD76" w:rsidR="00C4757C" w:rsidRDefault="001254BB" w:rsidP="00B11171">
            <w:pPr>
              <w:jc w:val="center"/>
              <w:rPr>
                <w:rFonts w:eastAsia="MS Gothic" w:cs="Arial"/>
                <w:bCs/>
                <w:sz w:val="28"/>
                <w:szCs w:val="28"/>
              </w:rPr>
            </w:pPr>
            <w:sdt>
              <w:sdtPr>
                <w:rPr>
                  <w:rFonts w:eastAsia="MS Gothic" w:cs="Arial"/>
                  <w:bCs/>
                  <w:sz w:val="28"/>
                  <w:szCs w:val="28"/>
                </w:rPr>
                <w:id w:val="1127900244"/>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2C2B6115" w14:textId="21CD616B" w:rsidR="00C4757C" w:rsidRDefault="00C4757C" w:rsidP="001C0FA3">
            <w:pPr>
              <w:spacing w:before="40" w:after="40"/>
              <w:rPr>
                <w:rFonts w:eastAsia="MS Gothic" w:cs="Arial"/>
              </w:rPr>
            </w:pPr>
            <w:r>
              <w:rPr>
                <w:rFonts w:eastAsia="MS Gothic" w:cs="Arial"/>
              </w:rPr>
              <w:t xml:space="preserve">The Performance Standard is met </w:t>
            </w:r>
            <w:r w:rsidR="009E2578">
              <w:rPr>
                <w:rFonts w:eastAsia="MS Gothic" w:cs="Arial"/>
              </w:rPr>
              <w:t xml:space="preserve">(i) </w:t>
            </w:r>
            <w:r>
              <w:rPr>
                <w:rFonts w:eastAsia="MS Gothic" w:cs="Arial"/>
              </w:rPr>
              <w:t xml:space="preserve">on average for the three months immediately preceding the Release Request and </w:t>
            </w:r>
            <w:r w:rsidR="009E2578">
              <w:rPr>
                <w:rFonts w:eastAsia="MS Gothic" w:cs="Arial"/>
              </w:rPr>
              <w:t xml:space="preserve">(ii) </w:t>
            </w:r>
            <w:r>
              <w:rPr>
                <w:rFonts w:eastAsia="MS Gothic" w:cs="Arial"/>
              </w:rPr>
              <w:t>without averaging for the month immediately preceding the Release Request (T-3 Average, T-1 Actual).</w:t>
            </w:r>
          </w:p>
        </w:tc>
      </w:tr>
      <w:tr w:rsidR="00C4757C" w:rsidRPr="00785F72" w14:paraId="564A7D51"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60191FEF" w14:textId="6898D836" w:rsidR="00C4757C" w:rsidRDefault="001254BB" w:rsidP="00B11171">
            <w:pPr>
              <w:jc w:val="center"/>
              <w:rPr>
                <w:rFonts w:eastAsia="MS Gothic" w:cs="Arial"/>
                <w:bCs/>
                <w:sz w:val="28"/>
                <w:szCs w:val="28"/>
              </w:rPr>
            </w:pPr>
            <w:sdt>
              <w:sdtPr>
                <w:rPr>
                  <w:rFonts w:eastAsia="MS Gothic" w:cs="Arial"/>
                  <w:bCs/>
                  <w:sz w:val="28"/>
                  <w:szCs w:val="28"/>
                </w:rPr>
                <w:id w:val="-743871282"/>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3EEAF1C9" w14:textId="2EBC1193" w:rsidR="00C4757C" w:rsidRDefault="00C4757C" w:rsidP="001C0FA3">
            <w:pPr>
              <w:spacing w:before="40" w:after="40"/>
              <w:rPr>
                <w:rFonts w:eastAsia="MS Gothic" w:cs="Arial"/>
              </w:rPr>
            </w:pPr>
            <w:r>
              <w:rPr>
                <w:rFonts w:eastAsia="MS Gothic" w:cs="Arial"/>
              </w:rPr>
              <w:t xml:space="preserve">The Performance Standard is met without averaging </w:t>
            </w:r>
            <w:r w:rsidR="00EC7018">
              <w:rPr>
                <w:rFonts w:eastAsia="MS Gothic" w:cs="Arial"/>
              </w:rPr>
              <w:t>in each of</w:t>
            </w:r>
            <w:r>
              <w:rPr>
                <w:rFonts w:eastAsia="MS Gothic" w:cs="Arial"/>
              </w:rPr>
              <w:t xml:space="preserve"> the three months immediately preceding the Release Request (T-3 Actual).</w:t>
            </w:r>
            <w:r w:rsidRPr="00297E4F">
              <w:rPr>
                <w:rFonts w:eastAsia="MS Gothic" w:cs="Arial"/>
              </w:rPr>
              <w:t xml:space="preserve"> </w:t>
            </w:r>
          </w:p>
        </w:tc>
      </w:tr>
      <w:tr w:rsidR="00C4757C" w:rsidRPr="00785F72" w14:paraId="6A8E01C8"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02B66957" w14:textId="2B2A2B9B" w:rsidR="00C4757C" w:rsidRDefault="001254BB" w:rsidP="00B11171">
            <w:pPr>
              <w:jc w:val="center"/>
              <w:rPr>
                <w:rFonts w:eastAsia="MS Gothic" w:cs="Arial"/>
                <w:bCs/>
                <w:sz w:val="28"/>
                <w:szCs w:val="28"/>
              </w:rPr>
            </w:pPr>
            <w:sdt>
              <w:sdtPr>
                <w:rPr>
                  <w:rFonts w:eastAsia="MS Gothic" w:cs="Arial"/>
                  <w:bCs/>
                  <w:sz w:val="28"/>
                  <w:szCs w:val="28"/>
                </w:rPr>
                <w:id w:val="1298178772"/>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2AF3EB13" w14:textId="3A5C7750" w:rsidR="00C4757C" w:rsidRDefault="00C4757C" w:rsidP="001C0FA3">
            <w:pPr>
              <w:spacing w:before="40" w:after="40"/>
              <w:rPr>
                <w:rFonts w:eastAsia="MS Gothic" w:cs="Arial"/>
              </w:rPr>
            </w:pPr>
            <w:r>
              <w:rPr>
                <w:rFonts w:eastAsia="MS Gothic" w:cs="Arial"/>
              </w:rPr>
              <w:t xml:space="preserve">The Performance Standard is met </w:t>
            </w:r>
            <w:r w:rsidR="009E2578">
              <w:rPr>
                <w:rFonts w:eastAsia="MS Gothic" w:cs="Arial"/>
              </w:rPr>
              <w:t xml:space="preserve">(i) </w:t>
            </w:r>
            <w:r>
              <w:rPr>
                <w:rFonts w:eastAsia="MS Gothic" w:cs="Arial"/>
              </w:rPr>
              <w:t xml:space="preserve">on average </w:t>
            </w:r>
            <w:r w:rsidR="00275E25">
              <w:rPr>
                <w:rFonts w:eastAsia="MS Gothic" w:cs="Arial"/>
              </w:rPr>
              <w:t>for</w:t>
            </w:r>
            <w:r>
              <w:rPr>
                <w:rFonts w:eastAsia="MS Gothic" w:cs="Arial"/>
              </w:rPr>
              <w:t xml:space="preserve"> the six months immediately preceding the Release Request and </w:t>
            </w:r>
            <w:r w:rsidR="009E2578">
              <w:rPr>
                <w:rFonts w:eastAsia="MS Gothic" w:cs="Arial"/>
              </w:rPr>
              <w:t xml:space="preserve">(ii) </w:t>
            </w:r>
            <w:r>
              <w:rPr>
                <w:rFonts w:eastAsia="MS Gothic" w:cs="Arial"/>
              </w:rPr>
              <w:t xml:space="preserve">without averaging </w:t>
            </w:r>
            <w:r w:rsidR="00275E25">
              <w:rPr>
                <w:rFonts w:eastAsia="MS Gothic" w:cs="Arial"/>
              </w:rPr>
              <w:t>in each of</w:t>
            </w:r>
            <w:r>
              <w:rPr>
                <w:rFonts w:eastAsia="MS Gothic" w:cs="Arial"/>
              </w:rPr>
              <w:t xml:space="preserve"> the three months immediately preceding the Release Request (T-6 Average, T-3 Actual).</w:t>
            </w:r>
          </w:p>
        </w:tc>
      </w:tr>
      <w:tr w:rsidR="00C4757C" w:rsidRPr="00785F72" w14:paraId="705C458E" w14:textId="77777777" w:rsidTr="00A76B15">
        <w:tblPrEx>
          <w:tblLook w:val="0000" w:firstRow="0" w:lastRow="0" w:firstColumn="0" w:lastColumn="0" w:noHBand="0" w:noVBand="0"/>
        </w:tblPrEx>
        <w:trPr>
          <w:trHeight w:val="350"/>
        </w:trPr>
        <w:tc>
          <w:tcPr>
            <w:tcW w:w="496" w:type="dxa"/>
            <w:tcBorders>
              <w:bottom w:val="nil"/>
            </w:tcBorders>
            <w:shd w:val="clear" w:color="auto" w:fill="auto"/>
            <w:vAlign w:val="center"/>
          </w:tcPr>
          <w:p w14:paraId="64E74A3E" w14:textId="277C65B5" w:rsidR="00C4757C" w:rsidRDefault="001254BB" w:rsidP="00B11171">
            <w:pPr>
              <w:jc w:val="center"/>
              <w:rPr>
                <w:rFonts w:eastAsia="MS Gothic" w:cs="Arial"/>
                <w:bCs/>
                <w:sz w:val="28"/>
                <w:szCs w:val="28"/>
              </w:rPr>
            </w:pPr>
            <w:sdt>
              <w:sdtPr>
                <w:rPr>
                  <w:rFonts w:eastAsia="MS Gothic" w:cs="Arial"/>
                  <w:bCs/>
                  <w:sz w:val="28"/>
                  <w:szCs w:val="28"/>
                </w:rPr>
                <w:id w:val="905266728"/>
                <w14:checkbox>
                  <w14:checked w14:val="0"/>
                  <w14:checkedState w14:val="2612" w14:font="MS Gothic"/>
                  <w14:uncheckedState w14:val="2610" w14:font="MS Gothic"/>
                </w14:checkbox>
              </w:sdtPr>
              <w:sdtEndPr/>
              <w:sdtContent>
                <w:r w:rsidR="00FD0D9B">
                  <w:rPr>
                    <w:rFonts w:ascii="MS Gothic" w:eastAsia="MS Gothic" w:hAnsi="MS Gothic" w:cs="Arial" w:hint="eastAsia"/>
                    <w:bCs/>
                    <w:sz w:val="28"/>
                    <w:szCs w:val="28"/>
                  </w:rPr>
                  <w:t>☐</w:t>
                </w:r>
              </w:sdtContent>
            </w:sdt>
          </w:p>
        </w:tc>
        <w:tc>
          <w:tcPr>
            <w:tcW w:w="9494" w:type="dxa"/>
            <w:tcBorders>
              <w:bottom w:val="nil"/>
            </w:tcBorders>
            <w:shd w:val="clear" w:color="auto" w:fill="auto"/>
            <w:vAlign w:val="center"/>
          </w:tcPr>
          <w:p w14:paraId="18181EA4" w14:textId="326909FF" w:rsidR="00C4757C" w:rsidRDefault="00C4757C" w:rsidP="001C0FA3">
            <w:pPr>
              <w:spacing w:before="40" w:after="40"/>
              <w:rPr>
                <w:rFonts w:eastAsia="MS Gothic" w:cs="Arial"/>
              </w:rPr>
            </w:pPr>
            <w:r>
              <w:rPr>
                <w:rFonts w:eastAsia="MS Gothic" w:cs="Arial"/>
              </w:rPr>
              <w:t xml:space="preserve">The Performance Standard is met without averaging </w:t>
            </w:r>
            <w:r w:rsidR="00EC7018">
              <w:rPr>
                <w:rFonts w:eastAsia="MS Gothic" w:cs="Arial"/>
              </w:rPr>
              <w:t>in each of</w:t>
            </w:r>
            <w:r>
              <w:rPr>
                <w:rFonts w:eastAsia="MS Gothic" w:cs="Arial"/>
              </w:rPr>
              <w:t xml:space="preserve"> the six months immediately preceding the Release Request (T-6 Actual).</w:t>
            </w:r>
          </w:p>
        </w:tc>
      </w:tr>
      <w:tr w:rsidR="00C4757C" w:rsidRPr="00785F72" w14:paraId="5ADA8530" w14:textId="77777777" w:rsidTr="00A76B15">
        <w:tblPrEx>
          <w:tblLook w:val="0000" w:firstRow="0" w:lastRow="0" w:firstColumn="0" w:lastColumn="0" w:noHBand="0" w:noVBand="0"/>
        </w:tblPrEx>
        <w:trPr>
          <w:trHeight w:val="71"/>
        </w:trPr>
        <w:tc>
          <w:tcPr>
            <w:tcW w:w="9990" w:type="dxa"/>
            <w:gridSpan w:val="2"/>
            <w:tcBorders>
              <w:bottom w:val="nil"/>
            </w:tcBorders>
            <w:shd w:val="clear" w:color="auto" w:fill="D0CECE" w:themeFill="background2" w:themeFillShade="E6"/>
          </w:tcPr>
          <w:p w14:paraId="1EE53978" w14:textId="77777777" w:rsidR="00C4757C" w:rsidRPr="00CA2F7F" w:rsidRDefault="00C4757C" w:rsidP="001C0FA3">
            <w:pPr>
              <w:rPr>
                <w:rFonts w:eastAsia="MS Gothic" w:cs="Arial"/>
                <w:sz w:val="4"/>
                <w:szCs w:val="4"/>
              </w:rPr>
            </w:pPr>
          </w:p>
        </w:tc>
      </w:tr>
      <w:tr w:rsidR="00C4757C" w:rsidRPr="00785F72" w14:paraId="502F3CAE"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0C345F0D" w14:textId="29EB46C3" w:rsidR="00C4757C" w:rsidRDefault="00C4757C" w:rsidP="001C0FA3">
            <w:pPr>
              <w:spacing w:before="40" w:after="40"/>
              <w:rPr>
                <w:rFonts w:eastAsia="MS Gothic" w:cs="Arial"/>
              </w:rPr>
            </w:pPr>
            <w:r w:rsidRPr="00A17CCD">
              <w:rPr>
                <w:rFonts w:eastAsia="MS Gothic" w:cs="Arial"/>
                <w:b/>
                <w:bCs/>
              </w:rPr>
              <w:t>Required Percentage of Rentable Units</w:t>
            </w:r>
            <w:r>
              <w:rPr>
                <w:rFonts w:eastAsia="MS Gothic" w:cs="Arial"/>
              </w:rPr>
              <w:t>: ___%</w:t>
            </w:r>
            <w:r w:rsidR="007F0BD4">
              <w:rPr>
                <w:rFonts w:eastAsia="MS Gothic" w:cs="Arial"/>
              </w:rPr>
              <w:t xml:space="preserve">, or </w:t>
            </w:r>
            <w:sdt>
              <w:sdtPr>
                <w:rPr>
                  <w:rFonts w:ascii="Segoe UI" w:eastAsia="MS Gothic" w:hAnsi="Segoe UI" w:cs="Segoe UI"/>
                  <w:bCs/>
                  <w:sz w:val="22"/>
                  <w:szCs w:val="22"/>
                </w:rPr>
                <w:id w:val="-1588613435"/>
                <w14:checkbox>
                  <w14:checked w14:val="0"/>
                  <w14:checkedState w14:val="2612" w14:font="MS Gothic"/>
                  <w14:uncheckedState w14:val="2610" w14:font="MS Gothic"/>
                </w14:checkbox>
              </w:sdtPr>
              <w:sdtEndPr/>
              <w:sdtContent>
                <w:r w:rsidR="00FD0D9B">
                  <w:rPr>
                    <w:rFonts w:ascii="MS Gothic" w:eastAsia="MS Gothic" w:hAnsi="MS Gothic" w:cs="Segoe UI" w:hint="eastAsia"/>
                    <w:bCs/>
                    <w:sz w:val="22"/>
                    <w:szCs w:val="22"/>
                  </w:rPr>
                  <w:t>☐</w:t>
                </w:r>
              </w:sdtContent>
            </w:sdt>
            <w:r w:rsidR="007F0BD4">
              <w:rPr>
                <w:rFonts w:eastAsia="MS Gothic" w:cs="Arial"/>
              </w:rPr>
              <w:t xml:space="preserve"> N/A</w:t>
            </w:r>
          </w:p>
        </w:tc>
      </w:tr>
      <w:tr w:rsidR="00C4757C" w:rsidRPr="00785F72" w14:paraId="57D7187D"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3F37B993" w14:textId="1BD3CE83" w:rsidR="00C4757C" w:rsidRDefault="00C4757C" w:rsidP="001C0FA3">
            <w:pPr>
              <w:spacing w:before="40" w:after="40"/>
              <w:rPr>
                <w:rFonts w:eastAsia="MS Gothic" w:cs="Arial"/>
              </w:rPr>
            </w:pPr>
            <w:r w:rsidRPr="00A17CCD">
              <w:rPr>
                <w:rFonts w:eastAsia="MS Gothic" w:cs="Arial"/>
                <w:b/>
                <w:bCs/>
              </w:rPr>
              <w:t>Required Rents</w:t>
            </w:r>
            <w:r>
              <w:rPr>
                <w:rFonts w:eastAsia="MS Gothic" w:cs="Arial"/>
              </w:rPr>
              <w:t>: $______</w:t>
            </w:r>
            <w:r w:rsidR="007F0BD4">
              <w:rPr>
                <w:rFonts w:eastAsia="MS Gothic" w:cs="Arial"/>
              </w:rPr>
              <w:t xml:space="preserve">, or </w:t>
            </w:r>
            <w:sdt>
              <w:sdtPr>
                <w:rPr>
                  <w:rFonts w:ascii="Segoe UI" w:eastAsia="MS Gothic" w:hAnsi="Segoe UI" w:cs="Segoe UI"/>
                  <w:bCs/>
                  <w:sz w:val="22"/>
                  <w:szCs w:val="22"/>
                </w:rPr>
                <w:id w:val="438099732"/>
                <w14:checkbox>
                  <w14:checked w14:val="0"/>
                  <w14:checkedState w14:val="2612" w14:font="MS Gothic"/>
                  <w14:uncheckedState w14:val="2610" w14:font="MS Gothic"/>
                </w14:checkbox>
              </w:sdtPr>
              <w:sdtEndPr/>
              <w:sdtContent>
                <w:r w:rsidR="00B11171" w:rsidRPr="00B11171">
                  <w:rPr>
                    <w:rFonts w:ascii="Segoe UI Symbol" w:eastAsia="MS Gothic" w:hAnsi="Segoe UI Symbol" w:cs="Segoe UI Symbol"/>
                    <w:bCs/>
                    <w:sz w:val="22"/>
                    <w:szCs w:val="22"/>
                  </w:rPr>
                  <w:t>☐</w:t>
                </w:r>
              </w:sdtContent>
            </w:sdt>
            <w:r w:rsidR="007F0BD4">
              <w:rPr>
                <w:rFonts w:eastAsia="MS Gothic" w:cs="Arial"/>
              </w:rPr>
              <w:t xml:space="preserve"> N/A</w:t>
            </w:r>
          </w:p>
        </w:tc>
      </w:tr>
      <w:tr w:rsidR="00C4757C" w:rsidRPr="00785F72" w14:paraId="53A33246"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71D35650" w14:textId="1C214416" w:rsidR="00C4757C" w:rsidRPr="00CA2F7F" w:rsidRDefault="00C4757C" w:rsidP="001C0FA3">
            <w:pPr>
              <w:tabs>
                <w:tab w:val="left" w:pos="2880"/>
                <w:tab w:val="left" w:pos="3600"/>
                <w:tab w:val="left" w:pos="4320"/>
                <w:tab w:val="left" w:pos="5040"/>
                <w:tab w:val="left" w:pos="5760"/>
                <w:tab w:val="left" w:pos="6480"/>
                <w:tab w:val="left" w:pos="7200"/>
              </w:tabs>
              <w:spacing w:before="40" w:after="40"/>
              <w:ind w:left="-14"/>
              <w:rPr>
                <w:rFonts w:cs="Arial"/>
              </w:rPr>
            </w:pPr>
            <w:r w:rsidRPr="00CA2F7F">
              <w:rPr>
                <w:rFonts w:cs="Arial"/>
                <w:b/>
              </w:rPr>
              <w:t>Required Debt Coverage Ratio</w:t>
            </w:r>
            <w:r>
              <w:rPr>
                <w:rFonts w:cs="Arial"/>
                <w:bCs/>
              </w:rPr>
              <w:t>:</w:t>
            </w:r>
            <w:r>
              <w:rPr>
                <w:rFonts w:cs="Arial"/>
                <w:b/>
              </w:rPr>
              <w:t xml:space="preserve"> </w:t>
            </w:r>
            <w:r w:rsidRPr="00CA2F7F">
              <w:rPr>
                <w:rFonts w:cs="Arial"/>
              </w:rPr>
              <w:t>1.__ x 1.0</w:t>
            </w:r>
            <w:r>
              <w:rPr>
                <w:rFonts w:cs="Arial"/>
              </w:rPr>
              <w:t>, based on a ___-year amortization schedule.</w:t>
            </w:r>
            <w:r w:rsidRPr="00CA2F7F">
              <w:rPr>
                <w:rFonts w:eastAsia="MS Gothic" w:cs="Arial"/>
              </w:rPr>
              <w:t xml:space="preserve"> If the</w:t>
            </w:r>
            <w:r w:rsidR="000A602C">
              <w:rPr>
                <w:rFonts w:eastAsia="MS Gothic" w:cs="Arial"/>
              </w:rPr>
              <w:t xml:space="preserve"> Project</w:t>
            </w:r>
            <w:r w:rsidRPr="00CA2F7F">
              <w:rPr>
                <w:rFonts w:eastAsia="MS Gothic" w:cs="Arial"/>
              </w:rPr>
              <w:t xml:space="preserve"> Loan has a floating interest rate, Required Debt Coverage Ratio will be calculated using an annual interest rate of </w:t>
            </w:r>
            <w:r>
              <w:rPr>
                <w:rFonts w:eastAsia="MS Gothic" w:cs="Arial"/>
              </w:rPr>
              <w:t>__</w:t>
            </w:r>
            <w:r w:rsidRPr="00CA2F7F">
              <w:rPr>
                <w:rFonts w:eastAsia="MS Gothic" w:cs="Arial"/>
              </w:rPr>
              <w:t>_%</w:t>
            </w:r>
            <w:r>
              <w:rPr>
                <w:rFonts w:eastAsia="MS Gothic" w:cs="Arial"/>
              </w:rPr>
              <w:t>.</w:t>
            </w:r>
          </w:p>
        </w:tc>
      </w:tr>
      <w:tr w:rsidR="00C4757C" w:rsidRPr="00785F72" w14:paraId="5E7C8641"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36CC80F8" w14:textId="77777777" w:rsidR="00C4757C" w:rsidRDefault="00C4757C" w:rsidP="001C0FA3">
            <w:pPr>
              <w:spacing w:before="40" w:after="40"/>
              <w:rPr>
                <w:rFonts w:eastAsia="MS Gothic" w:cs="Arial"/>
              </w:rPr>
            </w:pPr>
            <w:r w:rsidRPr="00A17CCD">
              <w:rPr>
                <w:rFonts w:eastAsia="MS Gothic" w:cs="Arial"/>
                <w:b/>
                <w:bCs/>
              </w:rPr>
              <w:t>Underwritten Acceptable Other Income</w:t>
            </w:r>
            <w:r>
              <w:rPr>
                <w:rFonts w:eastAsia="MS Gothic" w:cs="Arial"/>
              </w:rPr>
              <w:t>: $______</w:t>
            </w:r>
          </w:p>
        </w:tc>
      </w:tr>
      <w:tr w:rsidR="00C4757C" w:rsidRPr="00785F72" w14:paraId="67D76922"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6A37557C" w14:textId="77777777" w:rsidR="00C4757C" w:rsidRDefault="00C4757C" w:rsidP="001C0FA3">
            <w:pPr>
              <w:spacing w:before="40" w:after="40"/>
              <w:rPr>
                <w:rFonts w:eastAsia="MS Gothic" w:cs="Arial"/>
              </w:rPr>
            </w:pPr>
            <w:r w:rsidRPr="00A17CCD">
              <w:rPr>
                <w:rFonts w:eastAsia="MS Gothic" w:cs="Arial"/>
                <w:b/>
                <w:bCs/>
              </w:rPr>
              <w:t>Underwritten Fixed Expenses</w:t>
            </w:r>
            <w:r>
              <w:rPr>
                <w:rFonts w:eastAsia="MS Gothic" w:cs="Arial"/>
              </w:rPr>
              <w:t>: $_______</w:t>
            </w:r>
          </w:p>
        </w:tc>
      </w:tr>
      <w:tr w:rsidR="00C4757C" w:rsidRPr="00785F72" w14:paraId="07EB4243"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4DE93D8E" w14:textId="77777777" w:rsidR="00C4757C" w:rsidRDefault="00C4757C" w:rsidP="001C0FA3">
            <w:pPr>
              <w:spacing w:before="40" w:after="40"/>
              <w:rPr>
                <w:rFonts w:eastAsia="MS Gothic" w:cs="Arial"/>
              </w:rPr>
            </w:pPr>
            <w:r w:rsidRPr="00A17CCD">
              <w:rPr>
                <w:rFonts w:eastAsia="MS Gothic" w:cs="Arial"/>
                <w:b/>
                <w:bCs/>
              </w:rPr>
              <w:t>Underwritten Management Fee</w:t>
            </w:r>
            <w:r>
              <w:rPr>
                <w:rFonts w:eastAsia="MS Gothic" w:cs="Arial"/>
              </w:rPr>
              <w:t>: __% of Effective Gross Income</w:t>
            </w:r>
          </w:p>
        </w:tc>
      </w:tr>
      <w:tr w:rsidR="00C4757C" w:rsidRPr="00785F72" w14:paraId="77DC5F5F" w14:textId="77777777" w:rsidTr="00A76B15">
        <w:tblPrEx>
          <w:tblLook w:val="0000" w:firstRow="0" w:lastRow="0" w:firstColumn="0" w:lastColumn="0" w:noHBand="0" w:noVBand="0"/>
        </w:tblPrEx>
        <w:trPr>
          <w:trHeight w:val="260"/>
        </w:trPr>
        <w:tc>
          <w:tcPr>
            <w:tcW w:w="9990" w:type="dxa"/>
            <w:gridSpan w:val="2"/>
            <w:tcBorders>
              <w:bottom w:val="nil"/>
            </w:tcBorders>
            <w:shd w:val="clear" w:color="auto" w:fill="auto"/>
          </w:tcPr>
          <w:p w14:paraId="6759B75D" w14:textId="77777777" w:rsidR="00C4757C" w:rsidRDefault="00C4757C" w:rsidP="001C0FA3">
            <w:pPr>
              <w:spacing w:before="40" w:after="40"/>
              <w:rPr>
                <w:rFonts w:eastAsia="MS Gothic" w:cs="Arial"/>
              </w:rPr>
            </w:pPr>
            <w:r w:rsidRPr="00A17CCD">
              <w:rPr>
                <w:rFonts w:eastAsia="MS Gothic" w:cs="Arial"/>
                <w:b/>
                <w:bCs/>
              </w:rPr>
              <w:t>Underwritten Operating Expenses</w:t>
            </w:r>
            <w:r>
              <w:rPr>
                <w:rFonts w:eastAsia="MS Gothic" w:cs="Arial"/>
              </w:rPr>
              <w:t>: $________</w:t>
            </w:r>
          </w:p>
        </w:tc>
      </w:tr>
      <w:tr w:rsidR="00C4757C" w:rsidRPr="00785F72" w14:paraId="2C02398B" w14:textId="77777777" w:rsidTr="00A76B15">
        <w:tblPrEx>
          <w:tblLook w:val="0000" w:firstRow="0" w:lastRow="0" w:firstColumn="0" w:lastColumn="0" w:noHBand="0" w:noVBand="0"/>
        </w:tblPrEx>
        <w:trPr>
          <w:trHeight w:val="170"/>
        </w:trPr>
        <w:tc>
          <w:tcPr>
            <w:tcW w:w="9990" w:type="dxa"/>
            <w:gridSpan w:val="2"/>
            <w:vAlign w:val="center"/>
          </w:tcPr>
          <w:p w14:paraId="5C43B1A0" w14:textId="77777777" w:rsidR="00C4757C" w:rsidRPr="00785F72" w:rsidRDefault="00C4757C" w:rsidP="001C0FA3">
            <w:pPr>
              <w:shd w:val="clear" w:color="auto" w:fill="FFFFFF"/>
              <w:ind w:left="259" w:hanging="259"/>
              <w:rPr>
                <w:rFonts w:eastAsia="MS Gothic" w:cs="Arial"/>
                <w:i/>
              </w:rPr>
            </w:pPr>
            <w:r w:rsidRPr="00785F72">
              <w:rPr>
                <w:rFonts w:eastAsia="MS Gothic" w:cs="Arial"/>
                <w:i/>
                <w:sz w:val="16"/>
                <w:szCs w:val="16"/>
              </w:rPr>
              <w:t>(See Section 4.0</w:t>
            </w:r>
            <w:r>
              <w:rPr>
                <w:rFonts w:eastAsia="MS Gothic" w:cs="Arial"/>
                <w:i/>
                <w:sz w:val="16"/>
                <w:szCs w:val="16"/>
              </w:rPr>
              <w:t>6)</w:t>
            </w:r>
          </w:p>
        </w:tc>
      </w:tr>
    </w:tbl>
    <w:p w14:paraId="6C664AFB" w14:textId="3FCC0DFA" w:rsidR="00C4757C" w:rsidRDefault="00C4757C" w:rsidP="00C4757C">
      <w:pPr>
        <w:tabs>
          <w:tab w:val="left" w:pos="1122"/>
        </w:tabs>
        <w:ind w:left="720" w:firstLine="28"/>
        <w:rPr>
          <w:rFonts w:cs="Arial"/>
        </w:rPr>
      </w:pPr>
    </w:p>
    <w:p w14:paraId="124102EC" w14:textId="77777777" w:rsidR="008D563E" w:rsidRDefault="008D563E" w:rsidP="00C4757C">
      <w:pPr>
        <w:tabs>
          <w:tab w:val="left" w:pos="1122"/>
        </w:tabs>
        <w:ind w:left="720" w:firstLine="28"/>
        <w:rPr>
          <w:rFonts w:cs="Arial"/>
        </w:rPr>
      </w:pPr>
    </w:p>
    <w:p w14:paraId="55549B01" w14:textId="77777777" w:rsidR="00C4757C" w:rsidRPr="00B330B8" w:rsidRDefault="00C4757C" w:rsidP="00CD37F5">
      <w:pPr>
        <w:shd w:val="clear" w:color="auto" w:fill="FFFFFF"/>
        <w:tabs>
          <w:tab w:val="left" w:pos="720"/>
          <w:tab w:val="left" w:pos="1080"/>
          <w:tab w:val="left" w:pos="1440"/>
        </w:tabs>
        <w:rPr>
          <w:rFonts w:cs="Arial"/>
        </w:rPr>
      </w:pPr>
      <w:r>
        <w:rPr>
          <w:rFonts w:cs="Arial"/>
        </w:rPr>
        <w:t>B</w:t>
      </w:r>
      <w:r w:rsidRPr="00B330B8">
        <w:rPr>
          <w:rFonts w:cs="Arial"/>
        </w:rPr>
        <w:t>.</w:t>
      </w:r>
      <w:r w:rsidRPr="00B330B8">
        <w:rPr>
          <w:rFonts w:cs="Arial"/>
        </w:rPr>
        <w:tab/>
        <w:t>Section 4.0</w:t>
      </w:r>
      <w:r>
        <w:rPr>
          <w:rFonts w:cs="Arial"/>
        </w:rPr>
        <w:t>6</w:t>
      </w:r>
      <w:r w:rsidRPr="00B330B8">
        <w:rPr>
          <w:rFonts w:cs="Arial"/>
        </w:rPr>
        <w:t xml:space="preserve"> is deleted and replaced with the following:</w:t>
      </w:r>
    </w:p>
    <w:p w14:paraId="29CB6A41" w14:textId="77777777" w:rsidR="00C4757C" w:rsidRPr="00B330B8" w:rsidRDefault="00C4757C" w:rsidP="00CD37F5">
      <w:pPr>
        <w:shd w:val="clear" w:color="auto" w:fill="FFFFFF"/>
        <w:tabs>
          <w:tab w:val="left" w:pos="720"/>
          <w:tab w:val="left" w:pos="1080"/>
          <w:tab w:val="left" w:pos="1440"/>
        </w:tabs>
        <w:rPr>
          <w:rFonts w:cs="Arial"/>
        </w:rPr>
      </w:pPr>
    </w:p>
    <w:p w14:paraId="46DD0760" w14:textId="78C6CD49" w:rsidR="0059074F" w:rsidRDefault="00C4757C" w:rsidP="00CD37F5">
      <w:pPr>
        <w:pStyle w:val="NormalHangingIndent1"/>
        <w:spacing w:after="0"/>
        <w:ind w:left="1440"/>
        <w:jc w:val="left"/>
        <w:rPr>
          <w:rFonts w:ascii="Arial" w:hAnsi="Arial" w:cs="Arial"/>
          <w:sz w:val="20"/>
          <w:szCs w:val="20"/>
        </w:rPr>
      </w:pPr>
      <w:r w:rsidRPr="00B330B8">
        <w:rPr>
          <w:rFonts w:ascii="Arial" w:hAnsi="Arial" w:cs="Arial"/>
          <w:b/>
          <w:sz w:val="20"/>
          <w:szCs w:val="20"/>
        </w:rPr>
        <w:t>4.0</w:t>
      </w:r>
      <w:r>
        <w:rPr>
          <w:rFonts w:ascii="Arial" w:hAnsi="Arial" w:cs="Arial"/>
          <w:b/>
          <w:sz w:val="20"/>
          <w:szCs w:val="20"/>
        </w:rPr>
        <w:t>6</w:t>
      </w:r>
      <w:r w:rsidRPr="00B330B8">
        <w:rPr>
          <w:rFonts w:ascii="Arial" w:hAnsi="Arial" w:cs="Arial"/>
          <w:b/>
          <w:sz w:val="20"/>
          <w:szCs w:val="20"/>
        </w:rPr>
        <w:tab/>
        <w:t>Rental Achievement</w:t>
      </w:r>
      <w:r>
        <w:rPr>
          <w:rFonts w:ascii="Arial" w:hAnsi="Arial" w:cs="Arial"/>
          <w:b/>
          <w:sz w:val="20"/>
          <w:szCs w:val="20"/>
        </w:rPr>
        <w:t xml:space="preserve"> </w:t>
      </w:r>
      <w:r w:rsidRPr="00B330B8">
        <w:rPr>
          <w:rFonts w:ascii="Arial" w:hAnsi="Arial" w:cs="Arial"/>
          <w:b/>
          <w:sz w:val="20"/>
          <w:szCs w:val="20"/>
        </w:rPr>
        <w:t xml:space="preserve">– Cash </w:t>
      </w:r>
      <w:r w:rsidR="00BA4779">
        <w:rPr>
          <w:rFonts w:ascii="Arial" w:hAnsi="Arial" w:cs="Arial"/>
          <w:b/>
          <w:sz w:val="20"/>
          <w:szCs w:val="20"/>
        </w:rPr>
        <w:t>or Letter of Credit Reserve</w:t>
      </w:r>
      <w:r w:rsidRPr="00B330B8">
        <w:rPr>
          <w:rFonts w:ascii="Arial" w:hAnsi="Arial" w:cs="Arial"/>
          <w:b/>
          <w:sz w:val="20"/>
          <w:szCs w:val="20"/>
        </w:rPr>
        <w:t>.</w:t>
      </w:r>
      <w:r w:rsidR="00BA4779">
        <w:rPr>
          <w:rFonts w:ascii="Arial" w:hAnsi="Arial" w:cs="Arial"/>
          <w:b/>
          <w:sz w:val="20"/>
          <w:szCs w:val="20"/>
        </w:rPr>
        <w:t xml:space="preserve"> </w:t>
      </w:r>
      <w:r w:rsidRPr="00B330B8">
        <w:rPr>
          <w:rFonts w:ascii="Arial" w:hAnsi="Arial" w:cs="Arial"/>
          <w:sz w:val="20"/>
          <w:szCs w:val="20"/>
        </w:rPr>
        <w:t xml:space="preserve">Borrower and </w:t>
      </w:r>
      <w:r w:rsidR="00075D47">
        <w:rPr>
          <w:rFonts w:ascii="Arial" w:hAnsi="Arial" w:cs="Arial"/>
          <w:sz w:val="20"/>
          <w:szCs w:val="20"/>
        </w:rPr>
        <w:t>Funding Lender</w:t>
      </w:r>
      <w:r w:rsidRPr="00B330B8">
        <w:rPr>
          <w:rFonts w:ascii="Arial" w:hAnsi="Arial" w:cs="Arial"/>
          <w:sz w:val="20"/>
          <w:szCs w:val="20"/>
        </w:rPr>
        <w:t xml:space="preserve"> agree that</w:t>
      </w:r>
      <w:r>
        <w:rPr>
          <w:rFonts w:ascii="Arial" w:hAnsi="Arial" w:cs="Arial"/>
          <w:sz w:val="20"/>
          <w:szCs w:val="20"/>
        </w:rPr>
        <w:t xml:space="preserve"> as of the Effective Date, </w:t>
      </w:r>
      <w:r w:rsidRPr="00B330B8">
        <w:rPr>
          <w:rFonts w:ascii="Arial" w:hAnsi="Arial" w:cs="Arial"/>
          <w:sz w:val="20"/>
          <w:szCs w:val="20"/>
        </w:rPr>
        <w:t>the Performance Standard has not been met</w:t>
      </w:r>
      <w:r w:rsidR="0059074F">
        <w:rPr>
          <w:rFonts w:ascii="Arial" w:hAnsi="Arial" w:cs="Arial"/>
          <w:sz w:val="20"/>
          <w:szCs w:val="20"/>
        </w:rPr>
        <w:t>.</w:t>
      </w:r>
      <w:r w:rsidRPr="00B330B8">
        <w:rPr>
          <w:rFonts w:ascii="Arial" w:hAnsi="Arial" w:cs="Arial"/>
          <w:sz w:val="20"/>
          <w:szCs w:val="20"/>
        </w:rPr>
        <w:t xml:space="preserve"> </w:t>
      </w:r>
      <w:r w:rsidR="0059074F">
        <w:rPr>
          <w:rFonts w:ascii="Arial" w:hAnsi="Arial" w:cs="Arial"/>
          <w:sz w:val="20"/>
          <w:szCs w:val="20"/>
        </w:rPr>
        <w:t>A</w:t>
      </w:r>
      <w:r>
        <w:rPr>
          <w:rFonts w:ascii="Arial" w:hAnsi="Arial" w:cs="Arial"/>
          <w:sz w:val="20"/>
          <w:szCs w:val="20"/>
        </w:rPr>
        <w:t xml:space="preserve">s a condition of </w:t>
      </w:r>
      <w:r w:rsidR="00075D47">
        <w:rPr>
          <w:rFonts w:ascii="Arial" w:hAnsi="Arial" w:cs="Arial"/>
          <w:sz w:val="20"/>
          <w:szCs w:val="20"/>
        </w:rPr>
        <w:t>Funding Lender</w:t>
      </w:r>
      <w:r>
        <w:rPr>
          <w:rFonts w:ascii="Arial" w:hAnsi="Arial" w:cs="Arial"/>
          <w:sz w:val="20"/>
          <w:szCs w:val="20"/>
        </w:rPr>
        <w:t xml:space="preserve"> making th</w:t>
      </w:r>
      <w:r w:rsidR="00FD0D9B">
        <w:rPr>
          <w:rFonts w:ascii="Arial" w:hAnsi="Arial" w:cs="Arial"/>
          <w:sz w:val="20"/>
          <w:szCs w:val="20"/>
        </w:rPr>
        <w:t>e</w:t>
      </w:r>
      <w:r>
        <w:rPr>
          <w:rFonts w:ascii="Arial" w:hAnsi="Arial" w:cs="Arial"/>
          <w:sz w:val="20"/>
          <w:szCs w:val="20"/>
        </w:rPr>
        <w:t xml:space="preserve"> </w:t>
      </w:r>
      <w:r w:rsidR="00FD0D9B">
        <w:rPr>
          <w:rFonts w:ascii="Arial" w:hAnsi="Arial" w:cs="Arial"/>
          <w:sz w:val="20"/>
          <w:szCs w:val="20"/>
        </w:rPr>
        <w:t xml:space="preserve">Funding </w:t>
      </w:r>
      <w:r>
        <w:rPr>
          <w:rFonts w:ascii="Arial" w:hAnsi="Arial" w:cs="Arial"/>
          <w:sz w:val="20"/>
          <w:szCs w:val="20"/>
        </w:rPr>
        <w:t xml:space="preserve">Loan, </w:t>
      </w:r>
      <w:r w:rsidRPr="00B330B8">
        <w:rPr>
          <w:rFonts w:ascii="Arial" w:hAnsi="Arial" w:cs="Arial"/>
          <w:sz w:val="20"/>
          <w:szCs w:val="20"/>
        </w:rPr>
        <w:t>Borrower</w:t>
      </w:r>
      <w:r w:rsidR="0059074F">
        <w:rPr>
          <w:rFonts w:ascii="Arial" w:hAnsi="Arial" w:cs="Arial"/>
          <w:sz w:val="20"/>
          <w:szCs w:val="20"/>
        </w:rPr>
        <w:t xml:space="preserve"> has established the Rental Achievement Reserve Fund by depositing with </w:t>
      </w:r>
      <w:r w:rsidR="00075D47">
        <w:rPr>
          <w:rFonts w:ascii="Arial" w:hAnsi="Arial" w:cs="Arial"/>
          <w:sz w:val="20"/>
          <w:szCs w:val="20"/>
        </w:rPr>
        <w:t>Funding Lender</w:t>
      </w:r>
      <w:r w:rsidR="0059074F">
        <w:rPr>
          <w:rFonts w:ascii="Arial" w:hAnsi="Arial" w:cs="Arial"/>
          <w:sz w:val="20"/>
          <w:szCs w:val="20"/>
        </w:rPr>
        <w:t xml:space="preserve"> on the Closing Date either cash or a Letter of Credit in the amount of the Rental Achievement Reserve Deposit specified in the table titled “Other Reserve Funds – Closing Date Deposits” in Section 1.03. </w:t>
      </w:r>
    </w:p>
    <w:p w14:paraId="0C370BCC" w14:textId="77777777" w:rsidR="0059074F" w:rsidRDefault="0059074F" w:rsidP="00CD37F5">
      <w:pPr>
        <w:pStyle w:val="NormalHangingIndent1"/>
        <w:spacing w:after="0"/>
        <w:ind w:left="1440"/>
        <w:jc w:val="left"/>
        <w:rPr>
          <w:rFonts w:ascii="Arial" w:hAnsi="Arial" w:cs="Arial"/>
          <w:sz w:val="20"/>
          <w:szCs w:val="20"/>
        </w:rPr>
      </w:pPr>
    </w:p>
    <w:p w14:paraId="456EE370" w14:textId="5F8E3391" w:rsidR="0059074F" w:rsidRDefault="0059074F" w:rsidP="00CD37F5">
      <w:pPr>
        <w:pStyle w:val="NormalHangingIndent1"/>
        <w:spacing w:after="0"/>
        <w:ind w:left="21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6663C5">
        <w:rPr>
          <w:rFonts w:ascii="Arial" w:hAnsi="Arial" w:cs="Arial"/>
          <w:sz w:val="20"/>
          <w:szCs w:val="20"/>
          <w:u w:val="single"/>
        </w:rPr>
        <w:t>Rental Achievement Reserve Fund – Cash</w:t>
      </w:r>
      <w:r>
        <w:rPr>
          <w:rFonts w:ascii="Arial" w:hAnsi="Arial" w:cs="Arial"/>
          <w:sz w:val="20"/>
          <w:szCs w:val="20"/>
        </w:rPr>
        <w:t xml:space="preserve">. This Section 4.06(a) will apply if the Rental Achievement Reserve Fund was funded with a cash deposit. </w:t>
      </w:r>
    </w:p>
    <w:p w14:paraId="5C8D2981" w14:textId="77777777" w:rsidR="0059074F" w:rsidRDefault="0059074F" w:rsidP="00CD37F5">
      <w:pPr>
        <w:pStyle w:val="NormalHangingIndent1"/>
        <w:spacing w:after="0"/>
        <w:ind w:left="1440"/>
        <w:jc w:val="left"/>
        <w:rPr>
          <w:rFonts w:ascii="Arial" w:hAnsi="Arial" w:cs="Arial"/>
          <w:sz w:val="20"/>
          <w:szCs w:val="20"/>
        </w:rPr>
      </w:pPr>
    </w:p>
    <w:p w14:paraId="5AD7A526" w14:textId="0E2CA179" w:rsidR="00C4757C" w:rsidRDefault="00C4757C" w:rsidP="0059074F">
      <w:pPr>
        <w:pStyle w:val="NormalHangingIndent2"/>
        <w:spacing w:after="0"/>
        <w:ind w:left="2880"/>
        <w:jc w:val="left"/>
        <w:rPr>
          <w:rFonts w:ascii="Arial" w:hAnsi="Arial" w:cs="Arial"/>
          <w:sz w:val="20"/>
          <w:szCs w:val="20"/>
        </w:rPr>
      </w:pPr>
      <w:r w:rsidRPr="00B330B8">
        <w:rPr>
          <w:rFonts w:ascii="Arial" w:hAnsi="Arial" w:cs="Arial"/>
          <w:sz w:val="20"/>
          <w:szCs w:val="20"/>
        </w:rPr>
        <w:t>(</w:t>
      </w:r>
      <w:r w:rsidR="0059074F">
        <w:rPr>
          <w:rFonts w:ascii="Arial" w:hAnsi="Arial" w:cs="Arial"/>
          <w:sz w:val="20"/>
          <w:szCs w:val="20"/>
        </w:rPr>
        <w:t>i</w:t>
      </w:r>
      <w:r w:rsidRPr="00B330B8">
        <w:rPr>
          <w:rFonts w:ascii="Arial" w:hAnsi="Arial" w:cs="Arial"/>
          <w:sz w:val="20"/>
          <w:szCs w:val="20"/>
        </w:rPr>
        <w:t>)</w:t>
      </w:r>
      <w:r w:rsidRPr="00B330B8">
        <w:rPr>
          <w:rFonts w:ascii="Arial" w:hAnsi="Arial" w:cs="Arial"/>
          <w:sz w:val="20"/>
          <w:szCs w:val="20"/>
        </w:rPr>
        <w:tab/>
      </w:r>
      <w:r w:rsidR="00075D47">
        <w:rPr>
          <w:rFonts w:ascii="Arial" w:hAnsi="Arial" w:cs="Arial"/>
          <w:sz w:val="20"/>
          <w:szCs w:val="20"/>
        </w:rPr>
        <w:t>Funding Lender</w:t>
      </w:r>
      <w:r w:rsidRPr="00B330B8">
        <w:rPr>
          <w:rFonts w:ascii="Arial" w:hAnsi="Arial" w:cs="Arial"/>
          <w:sz w:val="20"/>
          <w:szCs w:val="20"/>
        </w:rPr>
        <w:t xml:space="preserve">, or Loan Servicer on </w:t>
      </w:r>
      <w:r w:rsidR="00075D47">
        <w:rPr>
          <w:rFonts w:ascii="Arial" w:hAnsi="Arial" w:cs="Arial"/>
          <w:sz w:val="20"/>
          <w:szCs w:val="20"/>
        </w:rPr>
        <w:t>Funding Lender</w:t>
      </w:r>
      <w:r w:rsidRPr="00B330B8">
        <w:rPr>
          <w:rFonts w:ascii="Arial" w:hAnsi="Arial" w:cs="Arial"/>
          <w:sz w:val="20"/>
          <w:szCs w:val="20"/>
        </w:rPr>
        <w:t xml:space="preserve">’s behalf, may withdraw all or part of the Rental Achievement Reserve Fund </w:t>
      </w:r>
      <w:r>
        <w:rPr>
          <w:rFonts w:ascii="Arial" w:hAnsi="Arial" w:cs="Arial"/>
          <w:sz w:val="20"/>
          <w:szCs w:val="20"/>
        </w:rPr>
        <w:t xml:space="preserve">at any time and without </w:t>
      </w:r>
      <w:r w:rsidRPr="00B330B8">
        <w:rPr>
          <w:rFonts w:ascii="Arial" w:hAnsi="Arial" w:cs="Arial"/>
          <w:sz w:val="20"/>
          <w:szCs w:val="20"/>
        </w:rPr>
        <w:t xml:space="preserve">Notice to Borrower </w:t>
      </w:r>
      <w:r>
        <w:rPr>
          <w:rFonts w:ascii="Arial" w:hAnsi="Arial" w:cs="Arial"/>
          <w:sz w:val="20"/>
          <w:szCs w:val="20"/>
        </w:rPr>
        <w:t xml:space="preserve">and apply such withdrawn funds as follows: </w:t>
      </w:r>
    </w:p>
    <w:p w14:paraId="1DE79C7E" w14:textId="77777777" w:rsidR="00C4757C" w:rsidRDefault="00C4757C" w:rsidP="0059074F">
      <w:pPr>
        <w:pStyle w:val="NormalHangingIndent2"/>
        <w:spacing w:after="0"/>
        <w:ind w:left="2880"/>
        <w:jc w:val="left"/>
        <w:rPr>
          <w:rFonts w:ascii="Arial" w:hAnsi="Arial" w:cs="Arial"/>
          <w:sz w:val="20"/>
          <w:szCs w:val="20"/>
        </w:rPr>
      </w:pPr>
    </w:p>
    <w:p w14:paraId="596B40A6" w14:textId="2B708D03" w:rsidR="00C4757C" w:rsidRPr="00B330B8" w:rsidRDefault="00C4757C" w:rsidP="0059074F">
      <w:pPr>
        <w:ind w:left="3600" w:hanging="720"/>
        <w:rPr>
          <w:rFonts w:cs="Arial"/>
        </w:rPr>
      </w:pPr>
      <w:bookmarkStart w:id="0" w:name="_Hlk87646621"/>
      <w:r w:rsidRPr="00B330B8">
        <w:rPr>
          <w:rFonts w:cs="Arial"/>
        </w:rPr>
        <w:t>(</w:t>
      </w:r>
      <w:r w:rsidR="0059074F">
        <w:rPr>
          <w:rFonts w:cs="Arial"/>
        </w:rPr>
        <w:t>A</w:t>
      </w:r>
      <w:r w:rsidRPr="00B330B8">
        <w:rPr>
          <w:rFonts w:cs="Arial"/>
        </w:rPr>
        <w:t>)</w:t>
      </w:r>
      <w:r w:rsidRPr="00B330B8">
        <w:rPr>
          <w:rFonts w:cs="Arial"/>
        </w:rPr>
        <w:tab/>
      </w:r>
      <w:r w:rsidRPr="00514ED2">
        <w:rPr>
          <w:rFonts w:cs="Arial"/>
        </w:rPr>
        <w:t xml:space="preserve">To reduce the unpaid principal balance of the </w:t>
      </w:r>
      <w:r w:rsidR="000A602C">
        <w:rPr>
          <w:rFonts w:cs="Arial"/>
        </w:rPr>
        <w:t xml:space="preserve">Project </w:t>
      </w:r>
      <w:r w:rsidRPr="00514ED2">
        <w:rPr>
          <w:rFonts w:cs="Arial"/>
        </w:rPr>
        <w:t xml:space="preserve">Loan </w:t>
      </w:r>
      <w:r>
        <w:rPr>
          <w:rFonts w:cs="Arial"/>
        </w:rPr>
        <w:t>if t</w:t>
      </w:r>
      <w:r w:rsidRPr="00B330B8">
        <w:rPr>
          <w:rFonts w:cs="Arial"/>
        </w:rPr>
        <w:t>he Earn Out Expiration Date has occurred and the Mortgaged Property has not achieved the Performance Standard.</w:t>
      </w:r>
    </w:p>
    <w:p w14:paraId="029C06F6" w14:textId="77777777" w:rsidR="00C4757C" w:rsidRPr="00B330B8" w:rsidRDefault="00C4757C" w:rsidP="0059074F">
      <w:pPr>
        <w:pStyle w:val="NormalHangingIndent3"/>
        <w:spacing w:after="0"/>
        <w:ind w:left="3600"/>
        <w:jc w:val="left"/>
        <w:rPr>
          <w:rFonts w:ascii="Arial" w:hAnsi="Arial" w:cs="Arial"/>
          <w:sz w:val="20"/>
          <w:szCs w:val="20"/>
        </w:rPr>
      </w:pPr>
    </w:p>
    <w:p w14:paraId="36C3B900" w14:textId="2A0ED316" w:rsidR="00C4757C" w:rsidRPr="00B330B8" w:rsidRDefault="00C4757C" w:rsidP="0059074F">
      <w:pPr>
        <w:pStyle w:val="NormalHangingIndent3"/>
        <w:spacing w:after="0"/>
        <w:ind w:left="3600"/>
        <w:jc w:val="left"/>
        <w:rPr>
          <w:rFonts w:ascii="Arial" w:hAnsi="Arial" w:cs="Arial"/>
          <w:sz w:val="20"/>
          <w:szCs w:val="20"/>
        </w:rPr>
      </w:pPr>
      <w:r w:rsidRPr="00B330B8">
        <w:rPr>
          <w:rFonts w:ascii="Arial" w:hAnsi="Arial" w:cs="Arial"/>
          <w:sz w:val="20"/>
          <w:szCs w:val="20"/>
        </w:rPr>
        <w:t>(</w:t>
      </w:r>
      <w:r w:rsidR="0059074F">
        <w:rPr>
          <w:rFonts w:ascii="Arial" w:hAnsi="Arial" w:cs="Arial"/>
          <w:sz w:val="20"/>
          <w:szCs w:val="20"/>
        </w:rPr>
        <w:t>B</w:t>
      </w:r>
      <w:r w:rsidRPr="00B330B8">
        <w:rPr>
          <w:rFonts w:ascii="Arial" w:hAnsi="Arial" w:cs="Arial"/>
          <w:sz w:val="20"/>
          <w:szCs w:val="20"/>
        </w:rPr>
        <w:t>)</w:t>
      </w:r>
      <w:r w:rsidRPr="00B330B8">
        <w:rPr>
          <w:rFonts w:ascii="Arial" w:hAnsi="Arial" w:cs="Arial"/>
          <w:sz w:val="20"/>
          <w:szCs w:val="20"/>
        </w:rPr>
        <w:tab/>
      </w:r>
      <w:r>
        <w:rPr>
          <w:rFonts w:ascii="Arial" w:hAnsi="Arial" w:cs="Arial"/>
          <w:sz w:val="20"/>
          <w:szCs w:val="20"/>
        </w:rPr>
        <w:t xml:space="preserve">To reduce the unpaid principal balance of the </w:t>
      </w:r>
      <w:r w:rsidR="000A602C">
        <w:rPr>
          <w:rFonts w:ascii="Arial" w:hAnsi="Arial" w:cs="Arial"/>
          <w:sz w:val="20"/>
          <w:szCs w:val="20"/>
        </w:rPr>
        <w:t xml:space="preserve">Project </w:t>
      </w:r>
      <w:r>
        <w:rPr>
          <w:rFonts w:ascii="Arial" w:hAnsi="Arial" w:cs="Arial"/>
          <w:sz w:val="20"/>
          <w:szCs w:val="20"/>
        </w:rPr>
        <w:t>Loan if a</w:t>
      </w:r>
      <w:r w:rsidRPr="00B330B8">
        <w:rPr>
          <w:rFonts w:ascii="Arial" w:hAnsi="Arial" w:cs="Arial"/>
          <w:sz w:val="20"/>
          <w:szCs w:val="20"/>
        </w:rPr>
        <w:t>n Event of Default has occurred and is continuing.</w:t>
      </w:r>
    </w:p>
    <w:bookmarkEnd w:id="0"/>
    <w:p w14:paraId="0D9D003C" w14:textId="77777777" w:rsidR="00C4757C" w:rsidRDefault="00C4757C" w:rsidP="0059074F">
      <w:pPr>
        <w:ind w:left="720"/>
        <w:rPr>
          <w:rFonts w:cs="Arial"/>
        </w:rPr>
      </w:pPr>
    </w:p>
    <w:p w14:paraId="5B1EAFFF" w14:textId="0D02AADB" w:rsidR="00C4757C" w:rsidRDefault="00C4757C" w:rsidP="0059074F">
      <w:pPr>
        <w:ind w:left="2880" w:hanging="720"/>
        <w:rPr>
          <w:rFonts w:cs="Arial"/>
        </w:rPr>
      </w:pPr>
      <w:r>
        <w:rPr>
          <w:rFonts w:cs="Arial"/>
        </w:rPr>
        <w:t>(</w:t>
      </w:r>
      <w:r w:rsidR="0059074F">
        <w:rPr>
          <w:rFonts w:cs="Arial"/>
        </w:rPr>
        <w:t>ii</w:t>
      </w:r>
      <w:r>
        <w:rPr>
          <w:rFonts w:cs="Arial"/>
        </w:rPr>
        <w:t>)</w:t>
      </w:r>
      <w:r>
        <w:rPr>
          <w:rFonts w:cs="Arial"/>
        </w:rPr>
        <w:tab/>
        <w:t>The Rental Achievement Reserve Fund will terminate upon the first to occur of the following:</w:t>
      </w:r>
    </w:p>
    <w:p w14:paraId="4352BE4D" w14:textId="77777777" w:rsidR="00C4757C" w:rsidRDefault="00C4757C" w:rsidP="0059074F">
      <w:pPr>
        <w:ind w:left="720"/>
        <w:rPr>
          <w:rFonts w:cs="Arial"/>
        </w:rPr>
      </w:pPr>
    </w:p>
    <w:p w14:paraId="585B62B1" w14:textId="4FF47E12" w:rsidR="00C4757C" w:rsidRPr="00B330B8" w:rsidRDefault="00C4757C" w:rsidP="0059074F">
      <w:pPr>
        <w:pStyle w:val="NormalHangingIndent3"/>
        <w:spacing w:after="0"/>
        <w:ind w:left="3600"/>
        <w:jc w:val="left"/>
        <w:rPr>
          <w:rFonts w:ascii="Arial" w:hAnsi="Arial" w:cs="Arial"/>
          <w:sz w:val="20"/>
          <w:szCs w:val="20"/>
        </w:rPr>
      </w:pPr>
      <w:r w:rsidRPr="00B330B8">
        <w:rPr>
          <w:rFonts w:ascii="Arial" w:hAnsi="Arial" w:cs="Arial"/>
          <w:sz w:val="20"/>
          <w:szCs w:val="20"/>
        </w:rPr>
        <w:t>(</w:t>
      </w:r>
      <w:r w:rsidR="0059074F">
        <w:rPr>
          <w:rFonts w:ascii="Arial" w:hAnsi="Arial" w:cs="Arial"/>
          <w:sz w:val="20"/>
          <w:szCs w:val="20"/>
        </w:rPr>
        <w:t>A</w:t>
      </w:r>
      <w:r w:rsidRPr="00B330B8">
        <w:rPr>
          <w:rFonts w:ascii="Arial" w:hAnsi="Arial" w:cs="Arial"/>
          <w:sz w:val="20"/>
          <w:szCs w:val="20"/>
        </w:rPr>
        <w:t>)</w:t>
      </w:r>
      <w:r w:rsidRPr="00B330B8">
        <w:rPr>
          <w:rFonts w:ascii="Arial" w:hAnsi="Arial" w:cs="Arial"/>
          <w:sz w:val="20"/>
          <w:szCs w:val="20"/>
        </w:rPr>
        <w:tab/>
        <w:t>Payment in full of the Indebtedness.</w:t>
      </w:r>
    </w:p>
    <w:p w14:paraId="44E60E85" w14:textId="77777777" w:rsidR="00C4757C" w:rsidRPr="00B330B8" w:rsidRDefault="00C4757C" w:rsidP="0059074F">
      <w:pPr>
        <w:ind w:left="720"/>
        <w:rPr>
          <w:rFonts w:cs="Arial"/>
        </w:rPr>
      </w:pPr>
    </w:p>
    <w:p w14:paraId="48C7E593" w14:textId="7CC63526" w:rsidR="00C4757C" w:rsidRDefault="00C4757C" w:rsidP="0059074F">
      <w:pPr>
        <w:pStyle w:val="NormalHangingIndent3"/>
        <w:spacing w:after="0"/>
        <w:ind w:left="3600"/>
        <w:jc w:val="left"/>
        <w:rPr>
          <w:rFonts w:ascii="Arial" w:hAnsi="Arial" w:cs="Arial"/>
          <w:sz w:val="20"/>
          <w:szCs w:val="20"/>
        </w:rPr>
      </w:pPr>
      <w:r w:rsidRPr="00B330B8">
        <w:rPr>
          <w:rFonts w:ascii="Arial" w:hAnsi="Arial" w:cs="Arial"/>
          <w:sz w:val="20"/>
          <w:szCs w:val="20"/>
        </w:rPr>
        <w:t>(</w:t>
      </w:r>
      <w:r w:rsidR="0059074F">
        <w:rPr>
          <w:rFonts w:ascii="Arial" w:hAnsi="Arial" w:cs="Arial"/>
          <w:sz w:val="20"/>
          <w:szCs w:val="20"/>
        </w:rPr>
        <w:t>B</w:t>
      </w:r>
      <w:r w:rsidRPr="00B330B8">
        <w:rPr>
          <w:rFonts w:ascii="Arial" w:hAnsi="Arial" w:cs="Arial"/>
          <w:sz w:val="20"/>
          <w:szCs w:val="20"/>
        </w:rPr>
        <w:t>)</w:t>
      </w:r>
      <w:r w:rsidRPr="00B330B8">
        <w:rPr>
          <w:rFonts w:ascii="Arial" w:hAnsi="Arial" w:cs="Arial"/>
          <w:sz w:val="20"/>
          <w:szCs w:val="20"/>
        </w:rPr>
        <w:tab/>
      </w:r>
      <w:bookmarkStart w:id="1" w:name="_Hlk87647226"/>
      <w:r>
        <w:rPr>
          <w:rFonts w:ascii="Arial" w:hAnsi="Arial" w:cs="Arial"/>
          <w:sz w:val="20"/>
          <w:szCs w:val="20"/>
        </w:rPr>
        <w:t xml:space="preserve">Provided no Event of Default has occurred and is continuing, upon </w:t>
      </w:r>
      <w:r w:rsidR="00075D47">
        <w:rPr>
          <w:rFonts w:ascii="Arial" w:hAnsi="Arial" w:cs="Arial"/>
          <w:sz w:val="20"/>
          <w:szCs w:val="20"/>
        </w:rPr>
        <w:t>Funding Lender</w:t>
      </w:r>
      <w:r>
        <w:rPr>
          <w:rFonts w:ascii="Arial" w:hAnsi="Arial" w:cs="Arial"/>
          <w:sz w:val="20"/>
          <w:szCs w:val="20"/>
        </w:rPr>
        <w:t xml:space="preserve">’s receipt of a Release Request confirming </w:t>
      </w:r>
      <w:r w:rsidR="00454DB4">
        <w:rPr>
          <w:rFonts w:ascii="Arial" w:hAnsi="Arial" w:cs="Arial"/>
          <w:sz w:val="20"/>
          <w:szCs w:val="20"/>
        </w:rPr>
        <w:t xml:space="preserve">to </w:t>
      </w:r>
      <w:r w:rsidR="00075D47">
        <w:rPr>
          <w:rFonts w:ascii="Arial" w:hAnsi="Arial" w:cs="Arial"/>
          <w:sz w:val="20"/>
          <w:szCs w:val="20"/>
        </w:rPr>
        <w:t>Funding Lender</w:t>
      </w:r>
      <w:r w:rsidR="00454DB4">
        <w:rPr>
          <w:rFonts w:ascii="Arial" w:hAnsi="Arial" w:cs="Arial"/>
          <w:sz w:val="20"/>
          <w:szCs w:val="20"/>
        </w:rPr>
        <w:t xml:space="preserve">’s satisfaction </w:t>
      </w:r>
      <w:r>
        <w:rPr>
          <w:rFonts w:ascii="Arial" w:hAnsi="Arial" w:cs="Arial"/>
          <w:sz w:val="20"/>
          <w:szCs w:val="20"/>
        </w:rPr>
        <w:t>that the Mortgaged Property has met the Performance Standard prior to the Earn Out Expiration Date.</w:t>
      </w:r>
      <w:bookmarkEnd w:id="1"/>
    </w:p>
    <w:p w14:paraId="37BF0967" w14:textId="77777777" w:rsidR="00C4757C" w:rsidRDefault="00C4757C" w:rsidP="0059074F">
      <w:pPr>
        <w:pStyle w:val="NormalHangingIndent3"/>
        <w:spacing w:after="0"/>
        <w:ind w:left="3600"/>
        <w:jc w:val="left"/>
        <w:rPr>
          <w:rFonts w:ascii="Arial" w:hAnsi="Arial" w:cs="Arial"/>
          <w:sz w:val="20"/>
          <w:szCs w:val="20"/>
        </w:rPr>
      </w:pPr>
    </w:p>
    <w:p w14:paraId="36D87575" w14:textId="5919BF7B" w:rsidR="00C4757C" w:rsidRDefault="00C4757C" w:rsidP="0059074F">
      <w:pPr>
        <w:pStyle w:val="ExDStdProvsNormal"/>
        <w:tabs>
          <w:tab w:val="left" w:pos="8640"/>
        </w:tabs>
        <w:ind w:left="2880"/>
        <w:rPr>
          <w:rFonts w:ascii="Arial" w:hAnsi="Arial" w:cs="Arial"/>
          <w:sz w:val="20"/>
          <w:szCs w:val="20"/>
        </w:rPr>
      </w:pPr>
      <w:r>
        <w:rPr>
          <w:rFonts w:ascii="Arial" w:hAnsi="Arial" w:cs="Arial"/>
          <w:sz w:val="20"/>
          <w:szCs w:val="20"/>
        </w:rPr>
        <w:t xml:space="preserve">Within 30 days after termination of the </w:t>
      </w:r>
      <w:r w:rsidR="00E40B02">
        <w:rPr>
          <w:rFonts w:ascii="Arial" w:hAnsi="Arial" w:cs="Arial"/>
          <w:sz w:val="20"/>
          <w:szCs w:val="20"/>
        </w:rPr>
        <w:t>Rental Achievement</w:t>
      </w:r>
      <w:r>
        <w:rPr>
          <w:rFonts w:ascii="Arial" w:hAnsi="Arial" w:cs="Arial"/>
          <w:sz w:val="20"/>
          <w:szCs w:val="20"/>
        </w:rPr>
        <w:t xml:space="preserve"> Reserve Fund, </w:t>
      </w:r>
      <w:r w:rsidR="00075D47">
        <w:rPr>
          <w:rFonts w:ascii="Arial" w:hAnsi="Arial" w:cs="Arial"/>
          <w:sz w:val="20"/>
          <w:szCs w:val="20"/>
        </w:rPr>
        <w:t>Funding Lender</w:t>
      </w:r>
      <w:r>
        <w:rPr>
          <w:rFonts w:ascii="Arial" w:hAnsi="Arial" w:cs="Arial"/>
          <w:sz w:val="20"/>
          <w:szCs w:val="20"/>
        </w:rPr>
        <w:t xml:space="preserve"> will pay to Borrower all funds remaining in the </w:t>
      </w:r>
      <w:r w:rsidR="00E40B02">
        <w:rPr>
          <w:rFonts w:ascii="Arial" w:hAnsi="Arial" w:cs="Arial"/>
          <w:sz w:val="20"/>
          <w:szCs w:val="20"/>
        </w:rPr>
        <w:t xml:space="preserve">Rental Achievement </w:t>
      </w:r>
      <w:r>
        <w:rPr>
          <w:rFonts w:ascii="Arial" w:hAnsi="Arial" w:cs="Arial"/>
          <w:sz w:val="20"/>
          <w:szCs w:val="20"/>
        </w:rPr>
        <w:t xml:space="preserve">Reserve Fund. </w:t>
      </w:r>
    </w:p>
    <w:p w14:paraId="291ED675" w14:textId="77777777" w:rsidR="00C4757C" w:rsidRPr="00B330B8" w:rsidRDefault="00C4757C" w:rsidP="0059074F">
      <w:pPr>
        <w:ind w:left="720"/>
        <w:rPr>
          <w:rFonts w:cs="Arial"/>
        </w:rPr>
      </w:pPr>
    </w:p>
    <w:p w14:paraId="02F39E14" w14:textId="1F11E324" w:rsidR="00C4757C" w:rsidRDefault="00C4757C" w:rsidP="0027050C">
      <w:pPr>
        <w:pStyle w:val="NormalHangingIndent2"/>
        <w:ind w:left="2880"/>
        <w:jc w:val="left"/>
        <w:rPr>
          <w:rFonts w:ascii="Arial" w:hAnsi="Arial" w:cs="Arial"/>
          <w:sz w:val="20"/>
          <w:szCs w:val="20"/>
        </w:rPr>
      </w:pPr>
      <w:r w:rsidRPr="008C44D4">
        <w:rPr>
          <w:rFonts w:ascii="Arial" w:hAnsi="Arial" w:cs="Arial"/>
          <w:sz w:val="20"/>
          <w:szCs w:val="20"/>
        </w:rPr>
        <w:t>(</w:t>
      </w:r>
      <w:r w:rsidR="0059074F">
        <w:rPr>
          <w:rFonts w:ascii="Arial" w:hAnsi="Arial" w:cs="Arial"/>
          <w:sz w:val="20"/>
          <w:szCs w:val="20"/>
        </w:rPr>
        <w:t>iii</w:t>
      </w:r>
      <w:r w:rsidRPr="008C44D4">
        <w:rPr>
          <w:rFonts w:ascii="Arial" w:hAnsi="Arial" w:cs="Arial"/>
          <w:sz w:val="20"/>
          <w:szCs w:val="20"/>
        </w:rPr>
        <w:t>)</w:t>
      </w:r>
      <w:r w:rsidRPr="008C44D4">
        <w:rPr>
          <w:rFonts w:ascii="Arial" w:hAnsi="Arial" w:cs="Arial"/>
          <w:sz w:val="20"/>
          <w:szCs w:val="20"/>
        </w:rPr>
        <w:tab/>
        <w:t xml:space="preserve">If </w:t>
      </w:r>
      <w:r w:rsidR="00075D47">
        <w:rPr>
          <w:rFonts w:ascii="Arial" w:hAnsi="Arial" w:cs="Arial"/>
          <w:sz w:val="20"/>
          <w:szCs w:val="20"/>
        </w:rPr>
        <w:t>Funding Lender</w:t>
      </w:r>
      <w:r w:rsidRPr="008C44D4">
        <w:rPr>
          <w:rFonts w:ascii="Arial" w:hAnsi="Arial" w:cs="Arial"/>
          <w:sz w:val="20"/>
          <w:szCs w:val="20"/>
        </w:rPr>
        <w:t xml:space="preserve">, or Loan Servicer on </w:t>
      </w:r>
      <w:r w:rsidR="00075D47">
        <w:rPr>
          <w:rFonts w:ascii="Arial" w:hAnsi="Arial" w:cs="Arial"/>
          <w:sz w:val="20"/>
          <w:szCs w:val="20"/>
        </w:rPr>
        <w:t>Funding Lender</w:t>
      </w:r>
      <w:r w:rsidRPr="008C44D4">
        <w:rPr>
          <w:rFonts w:ascii="Arial" w:hAnsi="Arial" w:cs="Arial"/>
          <w:sz w:val="20"/>
          <w:szCs w:val="20"/>
        </w:rPr>
        <w:t>’s behalf, withdraws funds from the Rental Achievement Reserve Fund</w:t>
      </w:r>
      <w:r>
        <w:rPr>
          <w:rFonts w:ascii="Arial" w:hAnsi="Arial" w:cs="Arial"/>
          <w:sz w:val="20"/>
          <w:szCs w:val="20"/>
        </w:rPr>
        <w:t xml:space="preserve"> in accordance with </w:t>
      </w:r>
      <w:r w:rsidR="003B29F0">
        <w:rPr>
          <w:rFonts w:ascii="Arial" w:hAnsi="Arial" w:cs="Arial"/>
          <w:sz w:val="20"/>
          <w:szCs w:val="20"/>
        </w:rPr>
        <w:t>Section </w:t>
      </w:r>
      <w:r>
        <w:rPr>
          <w:rFonts w:ascii="Arial" w:hAnsi="Arial" w:cs="Arial"/>
          <w:sz w:val="20"/>
          <w:szCs w:val="20"/>
        </w:rPr>
        <w:t>4.06(</w:t>
      </w:r>
      <w:r w:rsidR="0028339E">
        <w:rPr>
          <w:rFonts w:ascii="Arial" w:hAnsi="Arial" w:cs="Arial"/>
          <w:sz w:val="20"/>
          <w:szCs w:val="20"/>
        </w:rPr>
        <w:t>a</w:t>
      </w:r>
      <w:r>
        <w:rPr>
          <w:rFonts w:ascii="Arial" w:hAnsi="Arial" w:cs="Arial"/>
          <w:sz w:val="20"/>
          <w:szCs w:val="20"/>
        </w:rPr>
        <w:t>)</w:t>
      </w:r>
      <w:r w:rsidR="003B29F0">
        <w:rPr>
          <w:rFonts w:ascii="Arial" w:hAnsi="Arial" w:cs="Arial"/>
          <w:sz w:val="20"/>
          <w:szCs w:val="20"/>
        </w:rPr>
        <w:t>(i)(</w:t>
      </w:r>
      <w:r w:rsidR="0028339E">
        <w:rPr>
          <w:rFonts w:ascii="Arial" w:hAnsi="Arial" w:cs="Arial"/>
          <w:sz w:val="20"/>
          <w:szCs w:val="20"/>
        </w:rPr>
        <w:t>A</w:t>
      </w:r>
      <w:r w:rsidR="003B29F0">
        <w:rPr>
          <w:rFonts w:ascii="Arial" w:hAnsi="Arial" w:cs="Arial"/>
          <w:sz w:val="20"/>
          <w:szCs w:val="20"/>
        </w:rPr>
        <w:t>) or Section 4.06(</w:t>
      </w:r>
      <w:r w:rsidR="0028339E">
        <w:rPr>
          <w:rFonts w:ascii="Arial" w:hAnsi="Arial" w:cs="Arial"/>
          <w:sz w:val="20"/>
          <w:szCs w:val="20"/>
        </w:rPr>
        <w:t>a</w:t>
      </w:r>
      <w:r w:rsidR="003B29F0">
        <w:rPr>
          <w:rFonts w:ascii="Arial" w:hAnsi="Arial" w:cs="Arial"/>
          <w:sz w:val="20"/>
          <w:szCs w:val="20"/>
        </w:rPr>
        <w:t>)(i)(</w:t>
      </w:r>
      <w:r w:rsidR="0028339E">
        <w:rPr>
          <w:rFonts w:ascii="Arial" w:hAnsi="Arial" w:cs="Arial"/>
          <w:sz w:val="20"/>
          <w:szCs w:val="20"/>
        </w:rPr>
        <w:t>B</w:t>
      </w:r>
      <w:r w:rsidR="003B29F0">
        <w:rPr>
          <w:rFonts w:ascii="Arial" w:hAnsi="Arial" w:cs="Arial"/>
          <w:sz w:val="20"/>
          <w:szCs w:val="20"/>
        </w:rPr>
        <w:t>)</w:t>
      </w:r>
      <w:r>
        <w:rPr>
          <w:rFonts w:ascii="Arial" w:hAnsi="Arial" w:cs="Arial"/>
          <w:sz w:val="20"/>
          <w:szCs w:val="20"/>
        </w:rPr>
        <w:t>,</w:t>
      </w:r>
      <w:r w:rsidRPr="008C44D4">
        <w:rPr>
          <w:rFonts w:ascii="Arial" w:hAnsi="Arial" w:cs="Arial"/>
          <w:sz w:val="20"/>
          <w:szCs w:val="20"/>
        </w:rPr>
        <w:t xml:space="preserve"> then </w:t>
      </w:r>
      <w:r>
        <w:rPr>
          <w:rFonts w:ascii="Arial" w:hAnsi="Arial" w:cs="Arial"/>
          <w:sz w:val="20"/>
          <w:szCs w:val="20"/>
        </w:rPr>
        <w:t xml:space="preserve">on the next </w:t>
      </w:r>
      <w:r w:rsidR="00FD0D9B">
        <w:rPr>
          <w:rFonts w:ascii="Arial" w:hAnsi="Arial" w:cs="Arial"/>
          <w:sz w:val="20"/>
          <w:szCs w:val="20"/>
        </w:rPr>
        <w:t>Project Loan Payment</w:t>
      </w:r>
      <w:r w:rsidR="0059074F">
        <w:rPr>
          <w:rFonts w:ascii="Arial" w:hAnsi="Arial" w:cs="Arial"/>
          <w:sz w:val="20"/>
          <w:szCs w:val="20"/>
        </w:rPr>
        <w:t xml:space="preserve"> Date</w:t>
      </w:r>
      <w:r>
        <w:rPr>
          <w:rFonts w:ascii="Arial" w:hAnsi="Arial" w:cs="Arial"/>
          <w:sz w:val="20"/>
          <w:szCs w:val="20"/>
        </w:rPr>
        <w:t xml:space="preserve">, </w:t>
      </w:r>
      <w:r w:rsidR="00075D47">
        <w:rPr>
          <w:rFonts w:ascii="Arial" w:hAnsi="Arial" w:cs="Arial"/>
          <w:sz w:val="20"/>
          <w:szCs w:val="20"/>
        </w:rPr>
        <w:t>Funding Lender</w:t>
      </w:r>
      <w:r w:rsidRPr="008C44D4">
        <w:rPr>
          <w:rFonts w:ascii="Arial" w:hAnsi="Arial" w:cs="Arial"/>
          <w:sz w:val="20"/>
          <w:szCs w:val="20"/>
        </w:rPr>
        <w:t xml:space="preserve"> will apply the funds to reduce the unpaid principal balance of the</w:t>
      </w:r>
      <w:r w:rsidR="000A602C">
        <w:rPr>
          <w:rFonts w:ascii="Arial" w:hAnsi="Arial" w:cs="Arial"/>
          <w:sz w:val="20"/>
          <w:szCs w:val="20"/>
        </w:rPr>
        <w:t xml:space="preserve"> Project</w:t>
      </w:r>
      <w:r w:rsidRPr="008C44D4">
        <w:rPr>
          <w:rFonts w:ascii="Arial" w:hAnsi="Arial" w:cs="Arial"/>
          <w:sz w:val="20"/>
          <w:szCs w:val="20"/>
        </w:rPr>
        <w:t xml:space="preserve"> Loan </w:t>
      </w:r>
      <w:r w:rsidR="00FD0D9B">
        <w:rPr>
          <w:rFonts w:ascii="Arial" w:hAnsi="Arial" w:cs="Arial"/>
          <w:sz w:val="20"/>
          <w:szCs w:val="20"/>
        </w:rPr>
        <w:t xml:space="preserve">(and correspondingly reduce the unpaid principal balance of the Funding Loan) </w:t>
      </w:r>
      <w:r w:rsidRPr="008C44D4">
        <w:rPr>
          <w:rFonts w:ascii="Arial" w:hAnsi="Arial" w:cs="Arial"/>
          <w:sz w:val="20"/>
          <w:szCs w:val="20"/>
        </w:rPr>
        <w:t>(any such application of funds being a “</w:t>
      </w:r>
      <w:r w:rsidR="00DD7BA1">
        <w:rPr>
          <w:rFonts w:ascii="Arial" w:hAnsi="Arial" w:cs="Arial"/>
          <w:b/>
          <w:bCs/>
          <w:sz w:val="20"/>
          <w:szCs w:val="20"/>
        </w:rPr>
        <w:t>Rental Achievement</w:t>
      </w:r>
      <w:r w:rsidRPr="008C44D4">
        <w:rPr>
          <w:rFonts w:ascii="Arial" w:hAnsi="Arial" w:cs="Arial"/>
          <w:b/>
          <w:bCs/>
          <w:sz w:val="20"/>
          <w:szCs w:val="20"/>
        </w:rPr>
        <w:t xml:space="preserve"> Prepayment</w:t>
      </w:r>
      <w:r w:rsidRPr="008C44D4">
        <w:rPr>
          <w:rFonts w:ascii="Arial" w:hAnsi="Arial" w:cs="Arial"/>
          <w:sz w:val="20"/>
          <w:szCs w:val="20"/>
        </w:rPr>
        <w:t xml:space="preserve">”) notwithstanding that the </w:t>
      </w:r>
      <w:r w:rsidR="000A602C">
        <w:rPr>
          <w:rFonts w:ascii="Arial" w:hAnsi="Arial" w:cs="Arial"/>
          <w:sz w:val="20"/>
          <w:szCs w:val="20"/>
        </w:rPr>
        <w:t xml:space="preserve">Project </w:t>
      </w:r>
      <w:r w:rsidRPr="008C44D4">
        <w:rPr>
          <w:rFonts w:ascii="Arial" w:hAnsi="Arial" w:cs="Arial"/>
          <w:sz w:val="20"/>
          <w:szCs w:val="20"/>
        </w:rPr>
        <w:t xml:space="preserve">Loan may be in the Lockout Period. </w:t>
      </w:r>
      <w:bookmarkStart w:id="2" w:name="_Hlk87647001"/>
      <w:bookmarkStart w:id="3" w:name="_Hlk87646977"/>
      <w:r w:rsidRPr="008C44D4">
        <w:rPr>
          <w:rFonts w:ascii="Arial" w:hAnsi="Arial" w:cs="Arial"/>
          <w:sz w:val="20"/>
          <w:szCs w:val="20"/>
        </w:rPr>
        <w:t xml:space="preserve">Borrower must pay Prepayment </w:t>
      </w:r>
      <w:r w:rsidR="000A602C">
        <w:rPr>
          <w:rFonts w:ascii="Arial" w:hAnsi="Arial" w:cs="Arial"/>
          <w:sz w:val="20"/>
          <w:szCs w:val="20"/>
        </w:rPr>
        <w:t>Premium</w:t>
      </w:r>
      <w:r w:rsidR="000A602C" w:rsidRPr="008C44D4">
        <w:rPr>
          <w:rFonts w:ascii="Arial" w:hAnsi="Arial" w:cs="Arial"/>
          <w:sz w:val="20"/>
          <w:szCs w:val="20"/>
        </w:rPr>
        <w:t xml:space="preserve"> </w:t>
      </w:r>
      <w:r w:rsidRPr="008C44D4">
        <w:rPr>
          <w:rFonts w:ascii="Arial" w:hAnsi="Arial" w:cs="Arial"/>
          <w:sz w:val="20"/>
          <w:szCs w:val="20"/>
        </w:rPr>
        <w:t xml:space="preserve">on the </w:t>
      </w:r>
      <w:r w:rsidR="00DD7BA1">
        <w:rPr>
          <w:rFonts w:ascii="Arial" w:hAnsi="Arial" w:cs="Arial"/>
          <w:sz w:val="20"/>
          <w:szCs w:val="20"/>
        </w:rPr>
        <w:t>Rental Achievement</w:t>
      </w:r>
      <w:r w:rsidRPr="008C44D4">
        <w:rPr>
          <w:rFonts w:ascii="Arial" w:hAnsi="Arial" w:cs="Arial"/>
          <w:sz w:val="20"/>
          <w:szCs w:val="20"/>
        </w:rPr>
        <w:t xml:space="preserve"> Prepayment calculated </w:t>
      </w:r>
      <w:bookmarkEnd w:id="2"/>
      <w:bookmarkEnd w:id="3"/>
      <w:r w:rsidR="003F53B5">
        <w:rPr>
          <w:rFonts w:ascii="Arial" w:hAnsi="Arial" w:cs="Arial"/>
          <w:sz w:val="20"/>
          <w:szCs w:val="20"/>
        </w:rPr>
        <w:t>as provided in the Project Note</w:t>
      </w:r>
      <w:r w:rsidR="0027050C">
        <w:rPr>
          <w:rFonts w:ascii="Arial" w:hAnsi="Arial" w:cs="Arial"/>
          <w:sz w:val="20"/>
          <w:szCs w:val="20"/>
        </w:rPr>
        <w:t xml:space="preserve">. </w:t>
      </w:r>
      <w:r w:rsidRPr="002F528F">
        <w:rPr>
          <w:rFonts w:ascii="Arial" w:hAnsi="Arial" w:cs="Arial"/>
          <w:sz w:val="20"/>
          <w:szCs w:val="20"/>
        </w:rPr>
        <w:t xml:space="preserve">Borrower may not pay the </w:t>
      </w:r>
      <w:r>
        <w:rPr>
          <w:rFonts w:ascii="Arial" w:hAnsi="Arial" w:cs="Arial"/>
          <w:sz w:val="20"/>
          <w:szCs w:val="20"/>
        </w:rPr>
        <w:t xml:space="preserve">Prepayment </w:t>
      </w:r>
      <w:r w:rsidR="000A602C">
        <w:rPr>
          <w:rFonts w:ascii="Arial" w:hAnsi="Arial" w:cs="Arial"/>
          <w:sz w:val="20"/>
          <w:szCs w:val="20"/>
        </w:rPr>
        <w:t>Premium</w:t>
      </w:r>
      <w:r w:rsidR="000A602C" w:rsidRPr="002F528F">
        <w:rPr>
          <w:rFonts w:ascii="Arial" w:hAnsi="Arial" w:cs="Arial"/>
          <w:sz w:val="20"/>
          <w:szCs w:val="20"/>
        </w:rPr>
        <w:t xml:space="preserve"> </w:t>
      </w:r>
      <w:r w:rsidRPr="002F528F">
        <w:rPr>
          <w:rFonts w:ascii="Arial" w:hAnsi="Arial" w:cs="Arial"/>
          <w:sz w:val="20"/>
          <w:szCs w:val="20"/>
        </w:rPr>
        <w:t>from the funds withdrawn from the Rental Achievement Reserve Fund.</w:t>
      </w:r>
    </w:p>
    <w:p w14:paraId="7A4900BF" w14:textId="047A56F7" w:rsidR="006663C5" w:rsidRDefault="006663C5" w:rsidP="006663C5">
      <w:pPr>
        <w:pStyle w:val="NormalHangingIndent1"/>
        <w:keepNext/>
        <w:keepLines/>
        <w:spacing w:after="0"/>
        <w:ind w:left="21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6663C5">
        <w:rPr>
          <w:rFonts w:ascii="Arial" w:hAnsi="Arial" w:cs="Arial"/>
          <w:sz w:val="20"/>
          <w:szCs w:val="20"/>
          <w:u w:val="single"/>
        </w:rPr>
        <w:t xml:space="preserve">Rental Achievement Reserve Fund – </w:t>
      </w:r>
      <w:r>
        <w:rPr>
          <w:rFonts w:ascii="Arial" w:hAnsi="Arial" w:cs="Arial"/>
          <w:sz w:val="20"/>
          <w:szCs w:val="20"/>
          <w:u w:val="single"/>
        </w:rPr>
        <w:t>Letter of Credit</w:t>
      </w:r>
      <w:r>
        <w:rPr>
          <w:rFonts w:ascii="Arial" w:hAnsi="Arial" w:cs="Arial"/>
          <w:sz w:val="20"/>
          <w:szCs w:val="20"/>
        </w:rPr>
        <w:t>. This Section 4.06(b) will apply if the Rental Achievement Reserve Fund was funded with a Rental Achievement Letter of Credit in lieu of a cash deposit.</w:t>
      </w:r>
    </w:p>
    <w:p w14:paraId="0FFF0C17" w14:textId="5DDF6693" w:rsidR="006663C5" w:rsidRDefault="006663C5" w:rsidP="006663C5">
      <w:pPr>
        <w:pStyle w:val="NormalHangingIndent1"/>
        <w:keepNext/>
        <w:keepLines/>
        <w:spacing w:after="0"/>
        <w:ind w:left="2160"/>
        <w:jc w:val="left"/>
        <w:rPr>
          <w:rFonts w:ascii="Arial" w:hAnsi="Arial" w:cs="Arial"/>
          <w:sz w:val="20"/>
          <w:szCs w:val="20"/>
        </w:rPr>
      </w:pPr>
    </w:p>
    <w:p w14:paraId="61024D83" w14:textId="1A6DA3A7" w:rsidR="006663C5" w:rsidRPr="003A1EB6" w:rsidRDefault="006663C5" w:rsidP="006663C5">
      <w:pPr>
        <w:pStyle w:val="NormalHangingIndent2"/>
        <w:tabs>
          <w:tab w:val="left" w:pos="2160"/>
        </w:tabs>
        <w:spacing w:after="0"/>
        <w:ind w:left="2880"/>
        <w:jc w:val="left"/>
        <w:rPr>
          <w:rFonts w:ascii="Arial" w:hAnsi="Arial" w:cs="Arial"/>
          <w:sz w:val="20"/>
          <w:szCs w:val="20"/>
        </w:rPr>
      </w:pPr>
      <w:r w:rsidRPr="003A1EB6">
        <w:rPr>
          <w:rFonts w:ascii="Arial" w:hAnsi="Arial" w:cs="Arial"/>
          <w:sz w:val="20"/>
          <w:szCs w:val="20"/>
        </w:rPr>
        <w:t>(</w:t>
      </w:r>
      <w:r>
        <w:rPr>
          <w:rFonts w:ascii="Arial" w:hAnsi="Arial" w:cs="Arial"/>
          <w:sz w:val="20"/>
          <w:szCs w:val="20"/>
        </w:rPr>
        <w:t>i</w:t>
      </w:r>
      <w:r w:rsidRPr="003A1EB6">
        <w:rPr>
          <w:rFonts w:ascii="Arial" w:hAnsi="Arial" w:cs="Arial"/>
          <w:sz w:val="20"/>
          <w:szCs w:val="20"/>
        </w:rPr>
        <w:t>)</w:t>
      </w:r>
      <w:r w:rsidRPr="003A1EB6">
        <w:rPr>
          <w:rFonts w:ascii="Arial" w:hAnsi="Arial" w:cs="Arial"/>
          <w:sz w:val="20"/>
          <w:szCs w:val="20"/>
        </w:rPr>
        <w:tab/>
      </w:r>
      <w:r w:rsidR="00075D47">
        <w:rPr>
          <w:rFonts w:ascii="Arial" w:hAnsi="Arial" w:cs="Arial"/>
          <w:sz w:val="20"/>
          <w:szCs w:val="20"/>
        </w:rPr>
        <w:t>Funding Lender</w:t>
      </w:r>
      <w:r w:rsidRPr="003A1EB6">
        <w:rPr>
          <w:rFonts w:ascii="Arial" w:hAnsi="Arial" w:cs="Arial"/>
          <w:sz w:val="20"/>
          <w:szCs w:val="20"/>
        </w:rPr>
        <w:t xml:space="preserve">, or Loan Servicer on </w:t>
      </w:r>
      <w:r w:rsidR="00075D47">
        <w:rPr>
          <w:rFonts w:ascii="Arial" w:hAnsi="Arial" w:cs="Arial"/>
          <w:sz w:val="20"/>
          <w:szCs w:val="20"/>
        </w:rPr>
        <w:t>Funding Lender</w:t>
      </w:r>
      <w:r w:rsidRPr="003A1EB6">
        <w:rPr>
          <w:rFonts w:ascii="Arial" w:hAnsi="Arial" w:cs="Arial"/>
          <w:sz w:val="20"/>
          <w:szCs w:val="20"/>
        </w:rPr>
        <w:t xml:space="preserve">’s behalf, may draw upon all or part of the Rental Achievement Letter of Credit or any renewal or replacement Rental Achievement Letter of Credit </w:t>
      </w:r>
      <w:r>
        <w:rPr>
          <w:rFonts w:ascii="Arial" w:hAnsi="Arial" w:cs="Arial"/>
          <w:sz w:val="20"/>
          <w:szCs w:val="20"/>
        </w:rPr>
        <w:t xml:space="preserve">at any time and </w:t>
      </w:r>
      <w:r w:rsidRPr="003A1EB6">
        <w:rPr>
          <w:rFonts w:ascii="Arial" w:hAnsi="Arial" w:cs="Arial"/>
          <w:sz w:val="20"/>
          <w:szCs w:val="20"/>
        </w:rPr>
        <w:t xml:space="preserve">without Notice to Borrower </w:t>
      </w:r>
      <w:r>
        <w:rPr>
          <w:rFonts w:ascii="Arial" w:hAnsi="Arial" w:cs="Arial"/>
          <w:sz w:val="20"/>
          <w:szCs w:val="20"/>
        </w:rPr>
        <w:t xml:space="preserve">and apply the proceeds as follows: </w:t>
      </w:r>
    </w:p>
    <w:p w14:paraId="30648B22" w14:textId="77777777" w:rsidR="006663C5" w:rsidRPr="003A1EB6" w:rsidRDefault="006663C5" w:rsidP="006663C5">
      <w:pPr>
        <w:pStyle w:val="NormalHangingIndent3"/>
        <w:spacing w:after="0"/>
        <w:ind w:left="2880" w:firstLine="0"/>
        <w:jc w:val="left"/>
        <w:rPr>
          <w:rFonts w:ascii="Arial" w:hAnsi="Arial" w:cs="Arial"/>
          <w:sz w:val="20"/>
          <w:szCs w:val="20"/>
        </w:rPr>
      </w:pPr>
    </w:p>
    <w:p w14:paraId="1C3A6A73" w14:textId="52B4AB2A" w:rsidR="006663C5" w:rsidRPr="00B330B8" w:rsidRDefault="006663C5" w:rsidP="006663C5">
      <w:pPr>
        <w:ind w:left="3600" w:hanging="720"/>
        <w:rPr>
          <w:rFonts w:cs="Arial"/>
        </w:rPr>
      </w:pPr>
      <w:r w:rsidRPr="00B330B8">
        <w:rPr>
          <w:rFonts w:cs="Arial"/>
        </w:rPr>
        <w:t>(</w:t>
      </w:r>
      <w:r w:rsidR="00CD37F5">
        <w:rPr>
          <w:rFonts w:cs="Arial"/>
        </w:rPr>
        <w:t>A</w:t>
      </w:r>
      <w:r w:rsidRPr="00B330B8">
        <w:rPr>
          <w:rFonts w:cs="Arial"/>
        </w:rPr>
        <w:t>)</w:t>
      </w:r>
      <w:r w:rsidRPr="00B330B8">
        <w:rPr>
          <w:rFonts w:cs="Arial"/>
        </w:rPr>
        <w:tab/>
      </w:r>
      <w:r w:rsidRPr="00514ED2">
        <w:rPr>
          <w:rFonts w:cs="Arial"/>
        </w:rPr>
        <w:t xml:space="preserve">To reduce the unpaid principal balance of the </w:t>
      </w:r>
      <w:r w:rsidR="00566C96">
        <w:rPr>
          <w:rFonts w:cs="Arial"/>
        </w:rPr>
        <w:t xml:space="preserve">Project </w:t>
      </w:r>
      <w:r w:rsidRPr="00514ED2">
        <w:rPr>
          <w:rFonts w:cs="Arial"/>
        </w:rPr>
        <w:t xml:space="preserve">Loan </w:t>
      </w:r>
      <w:r>
        <w:rPr>
          <w:rFonts w:cs="Arial"/>
        </w:rPr>
        <w:t>if t</w:t>
      </w:r>
      <w:r w:rsidRPr="00B330B8">
        <w:rPr>
          <w:rFonts w:cs="Arial"/>
        </w:rPr>
        <w:t>he Earn Out Expiration Date has occurred and the Mortgaged Property has not achieved the Performance Standard.</w:t>
      </w:r>
    </w:p>
    <w:p w14:paraId="0812821E" w14:textId="77777777" w:rsidR="006663C5" w:rsidRPr="00B330B8" w:rsidRDefault="006663C5" w:rsidP="006663C5">
      <w:pPr>
        <w:pStyle w:val="NormalHangingIndent3"/>
        <w:spacing w:after="0"/>
        <w:ind w:left="3600"/>
        <w:jc w:val="left"/>
        <w:rPr>
          <w:rFonts w:ascii="Arial" w:hAnsi="Arial" w:cs="Arial"/>
          <w:sz w:val="20"/>
          <w:szCs w:val="20"/>
        </w:rPr>
      </w:pPr>
    </w:p>
    <w:p w14:paraId="49165F30" w14:textId="1E492F05" w:rsidR="006663C5" w:rsidRPr="00B330B8" w:rsidRDefault="006663C5" w:rsidP="006663C5">
      <w:pPr>
        <w:pStyle w:val="NormalHangingIndent3"/>
        <w:spacing w:after="0"/>
        <w:ind w:left="3600"/>
        <w:jc w:val="left"/>
        <w:rPr>
          <w:rFonts w:ascii="Arial" w:hAnsi="Arial" w:cs="Arial"/>
          <w:sz w:val="20"/>
          <w:szCs w:val="20"/>
        </w:rPr>
      </w:pPr>
      <w:r w:rsidRPr="00B330B8">
        <w:rPr>
          <w:rFonts w:ascii="Arial" w:hAnsi="Arial" w:cs="Arial"/>
          <w:sz w:val="20"/>
          <w:szCs w:val="20"/>
        </w:rPr>
        <w:t>(</w:t>
      </w:r>
      <w:r w:rsidR="00CD37F5">
        <w:rPr>
          <w:rFonts w:ascii="Arial" w:hAnsi="Arial" w:cs="Arial"/>
          <w:sz w:val="20"/>
          <w:szCs w:val="20"/>
        </w:rPr>
        <w:t>B</w:t>
      </w:r>
      <w:r w:rsidRPr="00B330B8">
        <w:rPr>
          <w:rFonts w:ascii="Arial" w:hAnsi="Arial" w:cs="Arial"/>
          <w:sz w:val="20"/>
          <w:szCs w:val="20"/>
        </w:rPr>
        <w:t>)</w:t>
      </w:r>
      <w:r w:rsidRPr="00B330B8">
        <w:rPr>
          <w:rFonts w:ascii="Arial" w:hAnsi="Arial" w:cs="Arial"/>
          <w:sz w:val="20"/>
          <w:szCs w:val="20"/>
        </w:rPr>
        <w:tab/>
      </w:r>
      <w:r>
        <w:rPr>
          <w:rFonts w:ascii="Arial" w:hAnsi="Arial" w:cs="Arial"/>
          <w:sz w:val="20"/>
          <w:szCs w:val="20"/>
        </w:rPr>
        <w:t>To reduce the unpaid principal balance of the</w:t>
      </w:r>
      <w:r w:rsidR="00566C96">
        <w:rPr>
          <w:rFonts w:ascii="Arial" w:hAnsi="Arial" w:cs="Arial"/>
          <w:sz w:val="20"/>
          <w:szCs w:val="20"/>
        </w:rPr>
        <w:t xml:space="preserve"> Project</w:t>
      </w:r>
      <w:r>
        <w:rPr>
          <w:rFonts w:ascii="Arial" w:hAnsi="Arial" w:cs="Arial"/>
          <w:sz w:val="20"/>
          <w:szCs w:val="20"/>
        </w:rPr>
        <w:t xml:space="preserve"> Loan if a</w:t>
      </w:r>
      <w:r w:rsidRPr="00B330B8">
        <w:rPr>
          <w:rFonts w:ascii="Arial" w:hAnsi="Arial" w:cs="Arial"/>
          <w:sz w:val="20"/>
          <w:szCs w:val="20"/>
        </w:rPr>
        <w:t>n Event of Default has occurred and is continuing.</w:t>
      </w:r>
    </w:p>
    <w:p w14:paraId="7A4E874E" w14:textId="77777777" w:rsidR="006663C5" w:rsidRPr="003A1EB6" w:rsidRDefault="006663C5" w:rsidP="006663C5">
      <w:pPr>
        <w:pStyle w:val="NormalHangingIndent3"/>
        <w:spacing w:after="0"/>
        <w:ind w:left="3600"/>
        <w:jc w:val="left"/>
        <w:rPr>
          <w:rFonts w:ascii="Arial" w:hAnsi="Arial" w:cs="Arial"/>
          <w:sz w:val="20"/>
          <w:szCs w:val="20"/>
        </w:rPr>
      </w:pPr>
    </w:p>
    <w:p w14:paraId="31A9B77E" w14:textId="6F6049D3" w:rsidR="006663C5" w:rsidRPr="003A1EB6" w:rsidRDefault="006663C5" w:rsidP="006663C5">
      <w:pPr>
        <w:pStyle w:val="NormalHangingIndent3"/>
        <w:spacing w:after="0"/>
        <w:ind w:left="3600"/>
        <w:jc w:val="left"/>
        <w:rPr>
          <w:rFonts w:ascii="Arial" w:hAnsi="Arial" w:cs="Arial"/>
          <w:sz w:val="20"/>
          <w:szCs w:val="20"/>
        </w:rPr>
      </w:pPr>
      <w:r w:rsidRPr="003A1EB6">
        <w:rPr>
          <w:rFonts w:ascii="Arial" w:hAnsi="Arial" w:cs="Arial"/>
          <w:sz w:val="20"/>
          <w:szCs w:val="20"/>
        </w:rPr>
        <w:t>(</w:t>
      </w:r>
      <w:r w:rsidR="00CD37F5">
        <w:rPr>
          <w:rFonts w:ascii="Arial" w:hAnsi="Arial" w:cs="Arial"/>
          <w:sz w:val="20"/>
          <w:szCs w:val="20"/>
        </w:rPr>
        <w:t>C</w:t>
      </w:r>
      <w:r w:rsidRPr="003A1EB6">
        <w:rPr>
          <w:rFonts w:ascii="Arial" w:hAnsi="Arial" w:cs="Arial"/>
          <w:sz w:val="20"/>
          <w:szCs w:val="20"/>
        </w:rPr>
        <w:t>)</w:t>
      </w:r>
      <w:r w:rsidRPr="003A1EB6">
        <w:rPr>
          <w:rFonts w:ascii="Arial" w:hAnsi="Arial" w:cs="Arial"/>
          <w:sz w:val="20"/>
          <w:szCs w:val="20"/>
        </w:rPr>
        <w:tab/>
      </w:r>
      <w:r>
        <w:rPr>
          <w:rFonts w:ascii="Arial" w:hAnsi="Arial" w:cs="Arial"/>
          <w:sz w:val="20"/>
          <w:szCs w:val="20"/>
        </w:rPr>
        <w:t>To reduce the unpaid principal balance of the</w:t>
      </w:r>
      <w:r w:rsidR="00566C96">
        <w:rPr>
          <w:rFonts w:ascii="Arial" w:hAnsi="Arial" w:cs="Arial"/>
          <w:sz w:val="20"/>
          <w:szCs w:val="20"/>
        </w:rPr>
        <w:t xml:space="preserve"> Project</w:t>
      </w:r>
      <w:r>
        <w:rPr>
          <w:rFonts w:ascii="Arial" w:hAnsi="Arial" w:cs="Arial"/>
          <w:sz w:val="20"/>
          <w:szCs w:val="20"/>
        </w:rPr>
        <w:t xml:space="preserve"> Loan a</w:t>
      </w:r>
      <w:r w:rsidRPr="003A1EB6">
        <w:rPr>
          <w:rFonts w:ascii="Arial" w:hAnsi="Arial" w:cs="Arial"/>
          <w:sz w:val="20"/>
          <w:szCs w:val="20"/>
        </w:rPr>
        <w:t xml:space="preserve">t any time during the 30-day period prior to the expiration date of the Rental Achievement Letter of Credit if Borrower has failed to deliver a renewal or replacement Rental Achievement Letter of Credit when required by Section </w:t>
      </w:r>
      <w:r>
        <w:rPr>
          <w:rFonts w:ascii="Arial" w:hAnsi="Arial" w:cs="Arial"/>
          <w:sz w:val="20"/>
          <w:szCs w:val="20"/>
        </w:rPr>
        <w:t>4.06</w:t>
      </w:r>
      <w:r w:rsidRPr="003A1EB6">
        <w:rPr>
          <w:rFonts w:ascii="Arial" w:hAnsi="Arial" w:cs="Arial"/>
          <w:sz w:val="20"/>
          <w:szCs w:val="20"/>
        </w:rPr>
        <w:t>(c), below, if applicable.</w:t>
      </w:r>
    </w:p>
    <w:p w14:paraId="56F135DD" w14:textId="77777777" w:rsidR="006663C5" w:rsidRPr="003A1EB6" w:rsidRDefault="006663C5" w:rsidP="006663C5">
      <w:pPr>
        <w:ind w:left="720"/>
        <w:rPr>
          <w:rFonts w:cs="Arial"/>
        </w:rPr>
      </w:pPr>
    </w:p>
    <w:p w14:paraId="7EAC37FF" w14:textId="7B2BFB08" w:rsidR="006663C5" w:rsidRPr="003A1EB6" w:rsidRDefault="006663C5" w:rsidP="006663C5">
      <w:pPr>
        <w:pStyle w:val="NormalHangingIndent2"/>
        <w:spacing w:after="0"/>
        <w:ind w:left="2880"/>
        <w:jc w:val="left"/>
        <w:rPr>
          <w:rFonts w:ascii="Arial" w:hAnsi="Arial" w:cs="Arial"/>
          <w:sz w:val="20"/>
          <w:szCs w:val="20"/>
        </w:rPr>
      </w:pPr>
      <w:r w:rsidRPr="003A1EB6">
        <w:rPr>
          <w:rFonts w:ascii="Arial" w:hAnsi="Arial" w:cs="Arial"/>
          <w:sz w:val="20"/>
          <w:szCs w:val="20"/>
        </w:rPr>
        <w:t>(</w:t>
      </w:r>
      <w:r w:rsidR="00CD37F5">
        <w:rPr>
          <w:rFonts w:ascii="Arial" w:hAnsi="Arial" w:cs="Arial"/>
          <w:sz w:val="20"/>
          <w:szCs w:val="20"/>
        </w:rPr>
        <w:t>ii</w:t>
      </w:r>
      <w:r w:rsidRPr="003A1EB6">
        <w:rPr>
          <w:rFonts w:ascii="Arial" w:hAnsi="Arial" w:cs="Arial"/>
          <w:sz w:val="20"/>
          <w:szCs w:val="20"/>
        </w:rPr>
        <w:t>)</w:t>
      </w:r>
      <w:r w:rsidRPr="003A1EB6">
        <w:rPr>
          <w:rFonts w:ascii="Arial" w:hAnsi="Arial" w:cs="Arial"/>
          <w:sz w:val="20"/>
          <w:szCs w:val="20"/>
        </w:rPr>
        <w:tab/>
        <w:t xml:space="preserve">Until the Performance Standard </w:t>
      </w:r>
      <w:r>
        <w:rPr>
          <w:rFonts w:ascii="Arial" w:hAnsi="Arial" w:cs="Arial"/>
          <w:sz w:val="20"/>
          <w:szCs w:val="20"/>
        </w:rPr>
        <w:t>is</w:t>
      </w:r>
      <w:r w:rsidRPr="003A1EB6">
        <w:rPr>
          <w:rFonts w:ascii="Arial" w:hAnsi="Arial" w:cs="Arial"/>
          <w:sz w:val="20"/>
          <w:szCs w:val="20"/>
        </w:rPr>
        <w:t xml:space="preserve"> met, at least 30 days prior to the expiration date of the Rental Achievement Letter of Credit, Borrower will deliver to </w:t>
      </w:r>
      <w:r w:rsidR="00075D47">
        <w:rPr>
          <w:rFonts w:ascii="Arial" w:hAnsi="Arial" w:cs="Arial"/>
          <w:sz w:val="20"/>
          <w:szCs w:val="20"/>
        </w:rPr>
        <w:t>Funding Lender</w:t>
      </w:r>
      <w:r w:rsidRPr="003A1EB6">
        <w:rPr>
          <w:rFonts w:ascii="Arial" w:hAnsi="Arial" w:cs="Arial"/>
          <w:sz w:val="20"/>
          <w:szCs w:val="20"/>
        </w:rPr>
        <w:t xml:space="preserve"> a renewal or replacement of the Rental Achievement Letter of Credit</w:t>
      </w:r>
      <w:r>
        <w:rPr>
          <w:rFonts w:ascii="Arial" w:hAnsi="Arial" w:cs="Arial"/>
          <w:sz w:val="20"/>
          <w:szCs w:val="20"/>
        </w:rPr>
        <w:t>,</w:t>
      </w:r>
      <w:r w:rsidRPr="003A1EB6">
        <w:rPr>
          <w:rFonts w:ascii="Arial" w:hAnsi="Arial" w:cs="Arial"/>
          <w:sz w:val="20"/>
          <w:szCs w:val="20"/>
        </w:rPr>
        <w:t xml:space="preserve"> which must also meet the requirements of this Section 4.0</w:t>
      </w:r>
      <w:r>
        <w:rPr>
          <w:rFonts w:ascii="Arial" w:hAnsi="Arial" w:cs="Arial"/>
          <w:sz w:val="20"/>
          <w:szCs w:val="20"/>
        </w:rPr>
        <w:t>6</w:t>
      </w:r>
      <w:r w:rsidRPr="003A1EB6">
        <w:rPr>
          <w:rFonts w:ascii="Arial" w:hAnsi="Arial" w:cs="Arial"/>
          <w:sz w:val="20"/>
          <w:szCs w:val="20"/>
        </w:rPr>
        <w:t xml:space="preserve"> and </w:t>
      </w:r>
      <w:r w:rsidR="00AE0D55" w:rsidRPr="003A1EB6">
        <w:rPr>
          <w:rFonts w:ascii="Arial" w:hAnsi="Arial" w:cs="Arial"/>
          <w:sz w:val="20"/>
          <w:szCs w:val="20"/>
        </w:rPr>
        <w:t>Section</w:t>
      </w:r>
      <w:r w:rsidR="00AE0D55">
        <w:rPr>
          <w:rFonts w:ascii="Arial" w:hAnsi="Arial" w:cs="Arial"/>
          <w:sz w:val="20"/>
          <w:szCs w:val="20"/>
        </w:rPr>
        <w:t> 11.16</w:t>
      </w:r>
      <w:r w:rsidRPr="003A1EB6">
        <w:rPr>
          <w:rFonts w:ascii="Arial" w:hAnsi="Arial" w:cs="Arial"/>
          <w:sz w:val="20"/>
          <w:szCs w:val="20"/>
        </w:rPr>
        <w:t>.</w:t>
      </w:r>
    </w:p>
    <w:p w14:paraId="2FED343D" w14:textId="77777777" w:rsidR="006663C5" w:rsidRPr="003A1EB6" w:rsidRDefault="006663C5" w:rsidP="006663C5">
      <w:pPr>
        <w:pStyle w:val="NormalHangingIndent2"/>
        <w:keepNext/>
        <w:spacing w:after="0"/>
        <w:ind w:left="2880"/>
        <w:jc w:val="left"/>
        <w:rPr>
          <w:rFonts w:ascii="Arial" w:hAnsi="Arial" w:cs="Arial"/>
          <w:sz w:val="20"/>
          <w:szCs w:val="20"/>
        </w:rPr>
      </w:pPr>
    </w:p>
    <w:p w14:paraId="3250FAE3" w14:textId="0DD19D32" w:rsidR="006663C5" w:rsidRDefault="006663C5" w:rsidP="0027050C">
      <w:pPr>
        <w:pStyle w:val="NormalHangingIndent2"/>
        <w:keepNext/>
        <w:spacing w:after="0"/>
        <w:ind w:left="2880"/>
        <w:jc w:val="left"/>
        <w:rPr>
          <w:rFonts w:ascii="Arial" w:hAnsi="Arial" w:cs="Arial"/>
          <w:sz w:val="20"/>
          <w:szCs w:val="20"/>
        </w:rPr>
      </w:pPr>
      <w:r w:rsidRPr="003A1EB6">
        <w:rPr>
          <w:rFonts w:ascii="Arial" w:hAnsi="Arial" w:cs="Arial"/>
          <w:sz w:val="20"/>
          <w:szCs w:val="20"/>
        </w:rPr>
        <w:t>(</w:t>
      </w:r>
      <w:r w:rsidR="00CD37F5">
        <w:rPr>
          <w:rFonts w:ascii="Arial" w:hAnsi="Arial" w:cs="Arial"/>
          <w:sz w:val="20"/>
          <w:szCs w:val="20"/>
        </w:rPr>
        <w:t>iii</w:t>
      </w:r>
      <w:r w:rsidRPr="003A1EB6">
        <w:rPr>
          <w:rFonts w:ascii="Arial" w:hAnsi="Arial" w:cs="Arial"/>
          <w:sz w:val="20"/>
          <w:szCs w:val="20"/>
        </w:rPr>
        <w:t>)</w:t>
      </w:r>
      <w:r w:rsidRPr="003A1EB6">
        <w:rPr>
          <w:rFonts w:ascii="Arial" w:hAnsi="Arial" w:cs="Arial"/>
          <w:sz w:val="20"/>
          <w:szCs w:val="20"/>
        </w:rPr>
        <w:tab/>
        <w:t xml:space="preserve">If </w:t>
      </w:r>
      <w:r w:rsidR="00075D47">
        <w:rPr>
          <w:rFonts w:ascii="Arial" w:hAnsi="Arial" w:cs="Arial"/>
          <w:sz w:val="20"/>
          <w:szCs w:val="20"/>
        </w:rPr>
        <w:t>Funding Lender</w:t>
      </w:r>
      <w:r w:rsidRPr="003A1EB6">
        <w:rPr>
          <w:rFonts w:ascii="Arial" w:hAnsi="Arial" w:cs="Arial"/>
          <w:sz w:val="20"/>
          <w:szCs w:val="20"/>
        </w:rPr>
        <w:t xml:space="preserve"> draws upon the Rental Achievement Letter of Credit </w:t>
      </w:r>
      <w:r>
        <w:rPr>
          <w:rFonts w:ascii="Arial" w:hAnsi="Arial" w:cs="Arial"/>
          <w:sz w:val="20"/>
          <w:szCs w:val="20"/>
        </w:rPr>
        <w:t xml:space="preserve">in accordance with </w:t>
      </w:r>
      <w:r w:rsidR="00CD37F5">
        <w:rPr>
          <w:rFonts w:ascii="Arial" w:hAnsi="Arial" w:cs="Arial"/>
          <w:sz w:val="20"/>
          <w:szCs w:val="20"/>
        </w:rPr>
        <w:t>Section </w:t>
      </w:r>
      <w:r>
        <w:rPr>
          <w:rFonts w:ascii="Arial" w:hAnsi="Arial" w:cs="Arial"/>
          <w:sz w:val="20"/>
          <w:szCs w:val="20"/>
        </w:rPr>
        <w:t>4.06</w:t>
      </w:r>
      <w:r w:rsidRPr="003A1EB6">
        <w:rPr>
          <w:rFonts w:ascii="Arial" w:hAnsi="Arial" w:cs="Arial"/>
          <w:sz w:val="20"/>
          <w:szCs w:val="20"/>
        </w:rPr>
        <w:t>(b)</w:t>
      </w:r>
      <w:r>
        <w:rPr>
          <w:rFonts w:ascii="Arial" w:hAnsi="Arial" w:cs="Arial"/>
          <w:sz w:val="20"/>
          <w:szCs w:val="20"/>
        </w:rPr>
        <w:t>(i)</w:t>
      </w:r>
      <w:r w:rsidR="00CD37F5">
        <w:rPr>
          <w:rFonts w:ascii="Arial" w:hAnsi="Arial" w:cs="Arial"/>
          <w:sz w:val="20"/>
          <w:szCs w:val="20"/>
        </w:rPr>
        <w:t>(</w:t>
      </w:r>
      <w:r w:rsidR="00CD37F5">
        <w:rPr>
          <w:rFonts w:ascii="Arial" w:hAnsi="Arial" w:cs="Arial"/>
          <w:caps/>
          <w:sz w:val="20"/>
          <w:szCs w:val="20"/>
        </w:rPr>
        <w:t>A)</w:t>
      </w:r>
      <w:r>
        <w:rPr>
          <w:rFonts w:ascii="Arial" w:hAnsi="Arial" w:cs="Arial"/>
          <w:sz w:val="20"/>
          <w:szCs w:val="20"/>
        </w:rPr>
        <w:t xml:space="preserve"> or </w:t>
      </w:r>
      <w:r w:rsidR="00CD37F5">
        <w:rPr>
          <w:rFonts w:ascii="Arial" w:hAnsi="Arial" w:cs="Arial"/>
          <w:sz w:val="20"/>
          <w:szCs w:val="20"/>
        </w:rPr>
        <w:t>Section </w:t>
      </w:r>
      <w:r>
        <w:rPr>
          <w:rFonts w:ascii="Arial" w:hAnsi="Arial" w:cs="Arial"/>
          <w:sz w:val="20"/>
          <w:szCs w:val="20"/>
        </w:rPr>
        <w:t>4.06(b)(i)</w:t>
      </w:r>
      <w:r w:rsidR="00CD37F5">
        <w:rPr>
          <w:rFonts w:ascii="Arial" w:hAnsi="Arial" w:cs="Arial"/>
          <w:sz w:val="20"/>
          <w:szCs w:val="20"/>
        </w:rPr>
        <w:t>(B)</w:t>
      </w:r>
      <w:r w:rsidRPr="003A1EB6">
        <w:rPr>
          <w:rFonts w:ascii="Arial" w:hAnsi="Arial" w:cs="Arial"/>
          <w:sz w:val="20"/>
          <w:szCs w:val="20"/>
        </w:rPr>
        <w:t xml:space="preserve">, then </w:t>
      </w:r>
      <w:r>
        <w:rPr>
          <w:rFonts w:ascii="Arial" w:hAnsi="Arial" w:cs="Arial"/>
          <w:sz w:val="20"/>
          <w:szCs w:val="20"/>
        </w:rPr>
        <w:t xml:space="preserve">on the next </w:t>
      </w:r>
      <w:r w:rsidR="00B13454">
        <w:rPr>
          <w:rFonts w:ascii="Arial" w:hAnsi="Arial" w:cs="Arial"/>
          <w:sz w:val="20"/>
          <w:szCs w:val="20"/>
        </w:rPr>
        <w:t>Project Loan Payment</w:t>
      </w:r>
      <w:r w:rsidR="00CD37F5">
        <w:rPr>
          <w:rFonts w:ascii="Arial" w:hAnsi="Arial" w:cs="Arial"/>
          <w:sz w:val="20"/>
          <w:szCs w:val="20"/>
        </w:rPr>
        <w:t xml:space="preserve"> Date</w:t>
      </w:r>
      <w:r>
        <w:rPr>
          <w:rFonts w:ascii="Arial" w:hAnsi="Arial" w:cs="Arial"/>
          <w:sz w:val="20"/>
          <w:szCs w:val="20"/>
        </w:rPr>
        <w:t xml:space="preserve">, </w:t>
      </w:r>
      <w:r w:rsidR="00075D47">
        <w:rPr>
          <w:rFonts w:ascii="Arial" w:hAnsi="Arial" w:cs="Arial"/>
          <w:sz w:val="20"/>
          <w:szCs w:val="20"/>
        </w:rPr>
        <w:t>Funding Lender</w:t>
      </w:r>
      <w:r>
        <w:rPr>
          <w:rFonts w:ascii="Arial" w:hAnsi="Arial" w:cs="Arial"/>
          <w:sz w:val="20"/>
          <w:szCs w:val="20"/>
        </w:rPr>
        <w:t xml:space="preserve"> will apply the proceeds </w:t>
      </w:r>
      <w:r w:rsidRPr="00B51B20">
        <w:rPr>
          <w:rFonts w:ascii="Arial" w:hAnsi="Arial" w:cs="Arial"/>
          <w:sz w:val="20"/>
          <w:szCs w:val="20"/>
        </w:rPr>
        <w:t xml:space="preserve">to reduce the unpaid principal balance of the </w:t>
      </w:r>
      <w:r w:rsidR="00566C96">
        <w:rPr>
          <w:rFonts w:ascii="Arial" w:hAnsi="Arial" w:cs="Arial"/>
          <w:sz w:val="20"/>
          <w:szCs w:val="20"/>
        </w:rPr>
        <w:t xml:space="preserve">Project </w:t>
      </w:r>
      <w:r w:rsidRPr="00B51B20">
        <w:rPr>
          <w:rFonts w:ascii="Arial" w:hAnsi="Arial" w:cs="Arial"/>
          <w:sz w:val="20"/>
          <w:szCs w:val="20"/>
        </w:rPr>
        <w:t>Loan</w:t>
      </w:r>
      <w:r w:rsidR="00B13454">
        <w:rPr>
          <w:rFonts w:ascii="Arial" w:hAnsi="Arial" w:cs="Arial"/>
          <w:sz w:val="20"/>
          <w:szCs w:val="20"/>
        </w:rPr>
        <w:t xml:space="preserve"> (and correspondingly reduce the unpaid principal balance of the Funding Loan)</w:t>
      </w:r>
      <w:r w:rsidRPr="00B51B20">
        <w:rPr>
          <w:rFonts w:ascii="Arial" w:hAnsi="Arial" w:cs="Arial"/>
          <w:sz w:val="20"/>
          <w:szCs w:val="20"/>
        </w:rPr>
        <w:t xml:space="preserve"> (any such application of funds being a “</w:t>
      </w:r>
      <w:r>
        <w:rPr>
          <w:rFonts w:ascii="Arial" w:hAnsi="Arial" w:cs="Arial"/>
          <w:b/>
          <w:bCs/>
          <w:sz w:val="20"/>
          <w:szCs w:val="20"/>
        </w:rPr>
        <w:t xml:space="preserve">Rental Achievement </w:t>
      </w:r>
      <w:r w:rsidRPr="00B51B20">
        <w:rPr>
          <w:rFonts w:ascii="Arial" w:hAnsi="Arial" w:cs="Arial"/>
          <w:b/>
          <w:bCs/>
          <w:sz w:val="20"/>
          <w:szCs w:val="20"/>
        </w:rPr>
        <w:t>Prepayment</w:t>
      </w:r>
      <w:r w:rsidRPr="00B51B20">
        <w:rPr>
          <w:rFonts w:ascii="Arial" w:hAnsi="Arial" w:cs="Arial"/>
          <w:sz w:val="20"/>
          <w:szCs w:val="20"/>
        </w:rPr>
        <w:t xml:space="preserve">”) notwithstanding that the </w:t>
      </w:r>
      <w:r w:rsidR="00566C96">
        <w:rPr>
          <w:rFonts w:ascii="Arial" w:hAnsi="Arial" w:cs="Arial"/>
          <w:sz w:val="20"/>
          <w:szCs w:val="20"/>
        </w:rPr>
        <w:t xml:space="preserve">Project </w:t>
      </w:r>
      <w:r w:rsidRPr="00B51B20">
        <w:rPr>
          <w:rFonts w:ascii="Arial" w:hAnsi="Arial" w:cs="Arial"/>
          <w:sz w:val="20"/>
          <w:szCs w:val="20"/>
        </w:rPr>
        <w:t xml:space="preserve">Loan may be in the Lockout Period. </w:t>
      </w:r>
      <w:r w:rsidRPr="00D26435">
        <w:rPr>
          <w:rFonts w:ascii="Arial" w:hAnsi="Arial" w:cs="Arial"/>
          <w:sz w:val="20"/>
          <w:szCs w:val="20"/>
        </w:rPr>
        <w:t xml:space="preserve">Borrower must pay Prepayment </w:t>
      </w:r>
      <w:r w:rsidR="000A602C">
        <w:rPr>
          <w:rFonts w:ascii="Arial" w:hAnsi="Arial" w:cs="Arial"/>
          <w:sz w:val="20"/>
          <w:szCs w:val="20"/>
        </w:rPr>
        <w:t>Premium</w:t>
      </w:r>
      <w:r w:rsidR="000A602C" w:rsidRPr="00D26435">
        <w:rPr>
          <w:rFonts w:ascii="Arial" w:hAnsi="Arial" w:cs="Arial"/>
          <w:sz w:val="20"/>
          <w:szCs w:val="20"/>
        </w:rPr>
        <w:t xml:space="preserve"> </w:t>
      </w:r>
      <w:r w:rsidRPr="00D26435">
        <w:rPr>
          <w:rFonts w:ascii="Arial" w:hAnsi="Arial" w:cs="Arial"/>
          <w:sz w:val="20"/>
          <w:szCs w:val="20"/>
        </w:rPr>
        <w:t xml:space="preserve">on the </w:t>
      </w:r>
      <w:r>
        <w:rPr>
          <w:rFonts w:ascii="Arial" w:hAnsi="Arial" w:cs="Arial"/>
          <w:sz w:val="20"/>
          <w:szCs w:val="20"/>
        </w:rPr>
        <w:t>Rental Achievement</w:t>
      </w:r>
      <w:r w:rsidRPr="00D26435">
        <w:rPr>
          <w:rFonts w:ascii="Arial" w:hAnsi="Arial" w:cs="Arial"/>
          <w:sz w:val="20"/>
          <w:szCs w:val="20"/>
        </w:rPr>
        <w:t xml:space="preserve"> Prepayment calculated </w:t>
      </w:r>
      <w:r w:rsidR="00B13454">
        <w:rPr>
          <w:rFonts w:ascii="Arial" w:hAnsi="Arial" w:cs="Arial"/>
          <w:sz w:val="20"/>
          <w:szCs w:val="20"/>
        </w:rPr>
        <w:t>as provided in the Project Note</w:t>
      </w:r>
      <w:r w:rsidR="0027050C">
        <w:rPr>
          <w:rFonts w:ascii="Arial" w:hAnsi="Arial" w:cs="Arial"/>
          <w:sz w:val="20"/>
          <w:szCs w:val="20"/>
        </w:rPr>
        <w:t>.</w:t>
      </w:r>
      <w:r w:rsidR="0027050C" w:rsidRPr="0027050C">
        <w:rPr>
          <w:rFonts w:ascii="Arial" w:hAnsi="Arial" w:cs="Arial"/>
          <w:sz w:val="20"/>
          <w:szCs w:val="20"/>
        </w:rPr>
        <w:t xml:space="preserve"> </w:t>
      </w:r>
      <w:r w:rsidR="0027050C" w:rsidRPr="002F528F">
        <w:rPr>
          <w:rFonts w:ascii="Arial" w:hAnsi="Arial" w:cs="Arial"/>
          <w:sz w:val="20"/>
          <w:szCs w:val="20"/>
        </w:rPr>
        <w:t xml:space="preserve">Borrower may not pay the </w:t>
      </w:r>
      <w:r w:rsidR="0027050C">
        <w:rPr>
          <w:rFonts w:ascii="Arial" w:hAnsi="Arial" w:cs="Arial"/>
          <w:sz w:val="20"/>
          <w:szCs w:val="20"/>
        </w:rPr>
        <w:t xml:space="preserve">Prepayment </w:t>
      </w:r>
      <w:r w:rsidR="000A602C">
        <w:rPr>
          <w:rFonts w:ascii="Arial" w:hAnsi="Arial" w:cs="Arial"/>
          <w:sz w:val="20"/>
          <w:szCs w:val="20"/>
        </w:rPr>
        <w:t>Premium</w:t>
      </w:r>
      <w:r w:rsidR="000A602C" w:rsidRPr="002F528F">
        <w:rPr>
          <w:rFonts w:ascii="Arial" w:hAnsi="Arial" w:cs="Arial"/>
          <w:sz w:val="20"/>
          <w:szCs w:val="20"/>
        </w:rPr>
        <w:t xml:space="preserve"> </w:t>
      </w:r>
      <w:r w:rsidR="0027050C" w:rsidRPr="002F528F">
        <w:rPr>
          <w:rFonts w:ascii="Arial" w:hAnsi="Arial" w:cs="Arial"/>
          <w:sz w:val="20"/>
          <w:szCs w:val="20"/>
        </w:rPr>
        <w:t xml:space="preserve">from the </w:t>
      </w:r>
      <w:r w:rsidR="00B13454">
        <w:rPr>
          <w:rFonts w:ascii="Arial" w:hAnsi="Arial" w:cs="Arial"/>
          <w:sz w:val="20"/>
          <w:szCs w:val="20"/>
        </w:rPr>
        <w:t>proceeds of a draw upon the Rental Achievement Letter of Credit</w:t>
      </w:r>
      <w:r w:rsidR="0027050C" w:rsidRPr="002F528F">
        <w:rPr>
          <w:rFonts w:ascii="Arial" w:hAnsi="Arial" w:cs="Arial"/>
          <w:sz w:val="20"/>
          <w:szCs w:val="20"/>
        </w:rPr>
        <w:t>.</w:t>
      </w:r>
    </w:p>
    <w:p w14:paraId="67B5AAE8" w14:textId="6BE99CB1" w:rsidR="006663C5" w:rsidRDefault="006663C5" w:rsidP="006663C5">
      <w:pPr>
        <w:pStyle w:val="NormalHangingIndent3"/>
        <w:spacing w:after="0"/>
        <w:ind w:left="720" w:firstLine="0"/>
        <w:jc w:val="left"/>
        <w:rPr>
          <w:rFonts w:ascii="Arial" w:hAnsi="Arial" w:cs="Arial"/>
          <w:sz w:val="20"/>
          <w:szCs w:val="20"/>
        </w:rPr>
      </w:pPr>
    </w:p>
    <w:p w14:paraId="3F6A7B52" w14:textId="1586F4EA" w:rsidR="006663C5" w:rsidRPr="003A1EB6" w:rsidRDefault="006663C5" w:rsidP="00CD37F5">
      <w:pPr>
        <w:pStyle w:val="NormalHangingIndent3"/>
        <w:spacing w:after="0"/>
        <w:ind w:left="2880"/>
        <w:jc w:val="left"/>
        <w:rPr>
          <w:rFonts w:ascii="Arial" w:hAnsi="Arial" w:cs="Arial"/>
          <w:sz w:val="20"/>
          <w:szCs w:val="20"/>
        </w:rPr>
      </w:pPr>
      <w:r w:rsidRPr="003A1EB6">
        <w:rPr>
          <w:rFonts w:ascii="Arial" w:hAnsi="Arial" w:cs="Arial"/>
          <w:sz w:val="20"/>
          <w:szCs w:val="20"/>
        </w:rPr>
        <w:t>(i</w:t>
      </w:r>
      <w:r w:rsidR="00CD37F5">
        <w:rPr>
          <w:rFonts w:ascii="Arial" w:hAnsi="Arial" w:cs="Arial"/>
          <w:sz w:val="20"/>
          <w:szCs w:val="20"/>
        </w:rPr>
        <w:t>v</w:t>
      </w:r>
      <w:r w:rsidRPr="003A1EB6">
        <w:rPr>
          <w:rFonts w:ascii="Arial" w:hAnsi="Arial" w:cs="Arial"/>
          <w:sz w:val="20"/>
          <w:szCs w:val="20"/>
        </w:rPr>
        <w:t>)</w:t>
      </w:r>
      <w:r w:rsidRPr="003A1EB6">
        <w:rPr>
          <w:rFonts w:ascii="Arial" w:hAnsi="Arial" w:cs="Arial"/>
          <w:sz w:val="20"/>
          <w:szCs w:val="20"/>
        </w:rPr>
        <w:tab/>
        <w:t xml:space="preserve">If </w:t>
      </w:r>
      <w:r w:rsidR="00075D47">
        <w:rPr>
          <w:rFonts w:ascii="Arial" w:hAnsi="Arial" w:cs="Arial"/>
          <w:sz w:val="20"/>
          <w:szCs w:val="20"/>
        </w:rPr>
        <w:t>Funding Lender</w:t>
      </w:r>
      <w:r w:rsidRPr="003A1EB6">
        <w:rPr>
          <w:rFonts w:ascii="Arial" w:hAnsi="Arial" w:cs="Arial"/>
          <w:sz w:val="20"/>
          <w:szCs w:val="20"/>
        </w:rPr>
        <w:t xml:space="preserve"> draws upon the Rental Achievement Letter of Credit under Section </w:t>
      </w:r>
      <w:r>
        <w:rPr>
          <w:rFonts w:ascii="Arial" w:hAnsi="Arial" w:cs="Arial"/>
          <w:sz w:val="20"/>
          <w:szCs w:val="20"/>
        </w:rPr>
        <w:t>4.06</w:t>
      </w:r>
      <w:r w:rsidRPr="003A1EB6">
        <w:rPr>
          <w:rFonts w:ascii="Arial" w:hAnsi="Arial" w:cs="Arial"/>
          <w:sz w:val="20"/>
          <w:szCs w:val="20"/>
        </w:rPr>
        <w:t>(b)(i)</w:t>
      </w:r>
      <w:r w:rsidR="00CD37F5">
        <w:rPr>
          <w:rFonts w:ascii="Arial" w:hAnsi="Arial" w:cs="Arial"/>
          <w:sz w:val="20"/>
          <w:szCs w:val="20"/>
        </w:rPr>
        <w:t>(C)</w:t>
      </w:r>
      <w:r w:rsidRPr="003A1EB6">
        <w:rPr>
          <w:rFonts w:ascii="Arial" w:hAnsi="Arial" w:cs="Arial"/>
          <w:sz w:val="20"/>
          <w:szCs w:val="20"/>
        </w:rPr>
        <w:t xml:space="preserve">, then </w:t>
      </w:r>
      <w:r w:rsidR="00075D47">
        <w:rPr>
          <w:rFonts w:ascii="Arial" w:hAnsi="Arial" w:cs="Arial"/>
          <w:sz w:val="20"/>
          <w:szCs w:val="20"/>
        </w:rPr>
        <w:t>Funding Lender</w:t>
      </w:r>
      <w:r w:rsidRPr="003A1EB6">
        <w:rPr>
          <w:rFonts w:ascii="Arial" w:hAnsi="Arial" w:cs="Arial"/>
          <w:sz w:val="20"/>
          <w:szCs w:val="20"/>
        </w:rPr>
        <w:t xml:space="preserve"> will hold the </w:t>
      </w:r>
      <w:r>
        <w:rPr>
          <w:rFonts w:ascii="Arial" w:hAnsi="Arial" w:cs="Arial"/>
          <w:sz w:val="20"/>
          <w:szCs w:val="20"/>
        </w:rPr>
        <w:t>p</w:t>
      </w:r>
      <w:r w:rsidRPr="003A1EB6">
        <w:rPr>
          <w:rFonts w:ascii="Arial" w:hAnsi="Arial" w:cs="Arial"/>
          <w:sz w:val="20"/>
          <w:szCs w:val="20"/>
        </w:rPr>
        <w:t>roceeds in escrow until the first to occur of the following:</w:t>
      </w:r>
    </w:p>
    <w:p w14:paraId="7309C7FC" w14:textId="77777777" w:rsidR="006663C5" w:rsidRPr="003A1EB6" w:rsidRDefault="006663C5" w:rsidP="006663C5">
      <w:pPr>
        <w:pStyle w:val="NormalHangingIndent4"/>
        <w:spacing w:after="0"/>
        <w:ind w:left="4320"/>
        <w:jc w:val="left"/>
        <w:rPr>
          <w:rFonts w:ascii="Arial" w:hAnsi="Arial" w:cs="Arial"/>
          <w:sz w:val="20"/>
          <w:szCs w:val="20"/>
        </w:rPr>
      </w:pPr>
    </w:p>
    <w:p w14:paraId="594A0E86" w14:textId="28C4E20C" w:rsidR="006663C5" w:rsidRPr="003A1EB6" w:rsidRDefault="006663C5" w:rsidP="00CD37F5">
      <w:pPr>
        <w:pStyle w:val="NormalHangingIndent4"/>
        <w:spacing w:after="0"/>
        <w:ind w:left="3600"/>
        <w:jc w:val="left"/>
        <w:rPr>
          <w:rFonts w:ascii="Arial" w:hAnsi="Arial" w:cs="Arial"/>
          <w:sz w:val="20"/>
          <w:szCs w:val="20"/>
        </w:rPr>
      </w:pPr>
      <w:r w:rsidRPr="003A1EB6">
        <w:rPr>
          <w:rFonts w:ascii="Arial" w:hAnsi="Arial" w:cs="Arial"/>
          <w:sz w:val="20"/>
          <w:szCs w:val="20"/>
        </w:rPr>
        <w:t>(A)</w:t>
      </w:r>
      <w:r w:rsidRPr="003A1EB6">
        <w:rPr>
          <w:rFonts w:ascii="Arial" w:hAnsi="Arial" w:cs="Arial"/>
          <w:sz w:val="20"/>
          <w:szCs w:val="20"/>
        </w:rPr>
        <w:tab/>
        <w:t xml:space="preserve">Any event or condition that would have entitled </w:t>
      </w:r>
      <w:r w:rsidR="00075D47">
        <w:rPr>
          <w:rFonts w:ascii="Arial" w:hAnsi="Arial" w:cs="Arial"/>
          <w:sz w:val="20"/>
          <w:szCs w:val="20"/>
        </w:rPr>
        <w:t>Funding Lender</w:t>
      </w:r>
      <w:r w:rsidRPr="003A1EB6">
        <w:rPr>
          <w:rFonts w:ascii="Arial" w:hAnsi="Arial" w:cs="Arial"/>
          <w:sz w:val="20"/>
          <w:szCs w:val="20"/>
        </w:rPr>
        <w:t xml:space="preserve"> to draw upon the Rental Achievement Letter of Credit under Section </w:t>
      </w:r>
      <w:r>
        <w:rPr>
          <w:rFonts w:ascii="Arial" w:hAnsi="Arial" w:cs="Arial"/>
          <w:sz w:val="20"/>
          <w:szCs w:val="20"/>
        </w:rPr>
        <w:t>4.06</w:t>
      </w:r>
      <w:r w:rsidRPr="003A1EB6">
        <w:rPr>
          <w:rFonts w:ascii="Arial" w:hAnsi="Arial" w:cs="Arial"/>
          <w:sz w:val="20"/>
          <w:szCs w:val="20"/>
        </w:rPr>
        <w:t xml:space="preserve">(b)(i) or (ii), in which case </w:t>
      </w:r>
      <w:r w:rsidR="00075D47">
        <w:rPr>
          <w:rFonts w:ascii="Arial" w:hAnsi="Arial" w:cs="Arial"/>
          <w:sz w:val="20"/>
          <w:szCs w:val="20"/>
        </w:rPr>
        <w:t>Funding Lender</w:t>
      </w:r>
      <w:r w:rsidRPr="003A1EB6">
        <w:rPr>
          <w:rFonts w:ascii="Arial" w:hAnsi="Arial" w:cs="Arial"/>
          <w:sz w:val="20"/>
          <w:szCs w:val="20"/>
        </w:rPr>
        <w:t xml:space="preserve"> may apply the </w:t>
      </w:r>
      <w:r>
        <w:rPr>
          <w:rFonts w:ascii="Arial" w:hAnsi="Arial" w:cs="Arial"/>
          <w:sz w:val="20"/>
          <w:szCs w:val="20"/>
        </w:rPr>
        <w:t>p</w:t>
      </w:r>
      <w:r w:rsidRPr="003A1EB6">
        <w:rPr>
          <w:rFonts w:ascii="Arial" w:hAnsi="Arial" w:cs="Arial"/>
          <w:sz w:val="20"/>
          <w:szCs w:val="20"/>
        </w:rPr>
        <w:t xml:space="preserve">roceeds as described in Section </w:t>
      </w:r>
      <w:r>
        <w:rPr>
          <w:rFonts w:ascii="Arial" w:hAnsi="Arial" w:cs="Arial"/>
          <w:sz w:val="20"/>
          <w:szCs w:val="20"/>
        </w:rPr>
        <w:t>4.06</w:t>
      </w:r>
      <w:r w:rsidRPr="003A1EB6">
        <w:rPr>
          <w:rFonts w:ascii="Arial" w:hAnsi="Arial" w:cs="Arial"/>
          <w:sz w:val="20"/>
          <w:szCs w:val="20"/>
        </w:rPr>
        <w:t>(d)(i).</w:t>
      </w:r>
    </w:p>
    <w:p w14:paraId="091C0DD0" w14:textId="77777777" w:rsidR="006663C5" w:rsidRPr="003A1EB6" w:rsidRDefault="006663C5" w:rsidP="00CD37F5">
      <w:pPr>
        <w:pStyle w:val="NormalHangingIndent4"/>
        <w:spacing w:after="0"/>
        <w:ind w:left="3600"/>
        <w:jc w:val="left"/>
        <w:rPr>
          <w:rFonts w:ascii="Arial" w:hAnsi="Arial" w:cs="Arial"/>
          <w:sz w:val="20"/>
          <w:szCs w:val="20"/>
        </w:rPr>
      </w:pPr>
    </w:p>
    <w:p w14:paraId="144AA3F4" w14:textId="2420AB85" w:rsidR="006663C5" w:rsidRPr="003A1EB6" w:rsidRDefault="006663C5" w:rsidP="00CD37F5">
      <w:pPr>
        <w:pStyle w:val="NormalHangingIndent4"/>
        <w:spacing w:after="0"/>
        <w:ind w:left="3600"/>
        <w:jc w:val="left"/>
        <w:rPr>
          <w:rFonts w:ascii="Arial" w:hAnsi="Arial" w:cs="Arial"/>
          <w:sz w:val="20"/>
          <w:szCs w:val="20"/>
        </w:rPr>
      </w:pPr>
      <w:r w:rsidRPr="003A1EB6">
        <w:rPr>
          <w:rFonts w:ascii="Arial" w:hAnsi="Arial" w:cs="Arial"/>
          <w:sz w:val="20"/>
          <w:szCs w:val="20"/>
        </w:rPr>
        <w:t>(B)</w:t>
      </w:r>
      <w:r w:rsidRPr="003A1EB6">
        <w:rPr>
          <w:rFonts w:ascii="Arial" w:hAnsi="Arial" w:cs="Arial"/>
          <w:sz w:val="20"/>
          <w:szCs w:val="20"/>
        </w:rPr>
        <w:tab/>
        <w:t xml:space="preserve">The satisfaction of the conditions for release of the Rental Achievement Letter of Credit under Section </w:t>
      </w:r>
      <w:r>
        <w:rPr>
          <w:rFonts w:ascii="Arial" w:hAnsi="Arial" w:cs="Arial"/>
          <w:sz w:val="20"/>
          <w:szCs w:val="20"/>
        </w:rPr>
        <w:t>4.06</w:t>
      </w:r>
      <w:r w:rsidRPr="003A1EB6">
        <w:rPr>
          <w:rFonts w:ascii="Arial" w:hAnsi="Arial" w:cs="Arial"/>
          <w:sz w:val="20"/>
          <w:szCs w:val="20"/>
        </w:rPr>
        <w:t xml:space="preserve">(e), in which case </w:t>
      </w:r>
      <w:r w:rsidR="00075D47">
        <w:rPr>
          <w:rFonts w:ascii="Arial" w:hAnsi="Arial" w:cs="Arial"/>
          <w:sz w:val="20"/>
          <w:szCs w:val="20"/>
        </w:rPr>
        <w:t>Funding Lender</w:t>
      </w:r>
      <w:r w:rsidRPr="003A1EB6">
        <w:rPr>
          <w:rFonts w:ascii="Arial" w:hAnsi="Arial" w:cs="Arial"/>
          <w:sz w:val="20"/>
          <w:szCs w:val="20"/>
        </w:rPr>
        <w:t xml:space="preserve"> will release the </w:t>
      </w:r>
      <w:r>
        <w:rPr>
          <w:rFonts w:ascii="Arial" w:hAnsi="Arial" w:cs="Arial"/>
          <w:sz w:val="20"/>
          <w:szCs w:val="20"/>
        </w:rPr>
        <w:t>p</w:t>
      </w:r>
      <w:r w:rsidRPr="003A1EB6">
        <w:rPr>
          <w:rFonts w:ascii="Arial" w:hAnsi="Arial" w:cs="Arial"/>
          <w:sz w:val="20"/>
          <w:szCs w:val="20"/>
        </w:rPr>
        <w:t>roceeds to Borrower.</w:t>
      </w:r>
    </w:p>
    <w:p w14:paraId="0E8094BF" w14:textId="77777777" w:rsidR="006663C5" w:rsidRPr="003A1EB6" w:rsidRDefault="006663C5" w:rsidP="006663C5">
      <w:pPr>
        <w:pStyle w:val="NormalHangingIndent4"/>
        <w:spacing w:after="0"/>
        <w:ind w:left="3600" w:firstLine="0"/>
        <w:jc w:val="left"/>
        <w:rPr>
          <w:rFonts w:ascii="Arial" w:hAnsi="Arial" w:cs="Arial"/>
          <w:sz w:val="20"/>
          <w:szCs w:val="20"/>
        </w:rPr>
      </w:pPr>
    </w:p>
    <w:p w14:paraId="75D71356" w14:textId="60BB5CA2" w:rsidR="006663C5" w:rsidRPr="003A1EB6" w:rsidRDefault="006663C5" w:rsidP="00CD37F5">
      <w:pPr>
        <w:pStyle w:val="NormalHangingIndent4"/>
        <w:spacing w:after="0"/>
        <w:ind w:firstLine="0"/>
        <w:jc w:val="left"/>
        <w:rPr>
          <w:rFonts w:ascii="Arial" w:hAnsi="Arial" w:cs="Arial"/>
          <w:sz w:val="20"/>
          <w:szCs w:val="20"/>
        </w:rPr>
      </w:pPr>
      <w:r w:rsidRPr="003A1EB6">
        <w:rPr>
          <w:rFonts w:ascii="Arial" w:hAnsi="Arial" w:cs="Arial"/>
          <w:sz w:val="20"/>
          <w:szCs w:val="20"/>
        </w:rPr>
        <w:t xml:space="preserve">Either </w:t>
      </w:r>
      <w:r w:rsidR="00075D47">
        <w:rPr>
          <w:rFonts w:ascii="Arial" w:hAnsi="Arial" w:cs="Arial"/>
          <w:sz w:val="20"/>
          <w:szCs w:val="20"/>
        </w:rPr>
        <w:t>Funding Lender</w:t>
      </w:r>
      <w:r w:rsidRPr="003A1EB6">
        <w:rPr>
          <w:rFonts w:ascii="Arial" w:hAnsi="Arial" w:cs="Arial"/>
          <w:sz w:val="20"/>
          <w:szCs w:val="20"/>
        </w:rPr>
        <w:t xml:space="preserve"> or Loan Servicer may hold the </w:t>
      </w:r>
      <w:r>
        <w:rPr>
          <w:rFonts w:ascii="Arial" w:hAnsi="Arial" w:cs="Arial"/>
          <w:sz w:val="20"/>
          <w:szCs w:val="20"/>
        </w:rPr>
        <w:t>p</w:t>
      </w:r>
      <w:r w:rsidRPr="003A1EB6">
        <w:rPr>
          <w:rFonts w:ascii="Arial" w:hAnsi="Arial" w:cs="Arial"/>
          <w:sz w:val="20"/>
          <w:szCs w:val="20"/>
        </w:rPr>
        <w:t xml:space="preserve">roceeds. Neither </w:t>
      </w:r>
      <w:r w:rsidR="00075D47">
        <w:rPr>
          <w:rFonts w:ascii="Arial" w:hAnsi="Arial" w:cs="Arial"/>
          <w:sz w:val="20"/>
          <w:szCs w:val="20"/>
        </w:rPr>
        <w:t>Funding Lender</w:t>
      </w:r>
      <w:r w:rsidRPr="003A1EB6">
        <w:rPr>
          <w:rFonts w:ascii="Arial" w:hAnsi="Arial" w:cs="Arial"/>
          <w:sz w:val="20"/>
          <w:szCs w:val="20"/>
        </w:rPr>
        <w:t xml:space="preserve"> nor Loan Servicer will have any obligation to invest the </w:t>
      </w:r>
      <w:r>
        <w:rPr>
          <w:rFonts w:ascii="Arial" w:hAnsi="Arial" w:cs="Arial"/>
          <w:sz w:val="20"/>
          <w:szCs w:val="20"/>
        </w:rPr>
        <w:t>p</w:t>
      </w:r>
      <w:r w:rsidRPr="003A1EB6">
        <w:rPr>
          <w:rFonts w:ascii="Arial" w:hAnsi="Arial" w:cs="Arial"/>
          <w:sz w:val="20"/>
          <w:szCs w:val="20"/>
        </w:rPr>
        <w:t>roceeds or</w:t>
      </w:r>
      <w:r>
        <w:rPr>
          <w:rFonts w:ascii="Arial" w:hAnsi="Arial" w:cs="Arial"/>
          <w:sz w:val="20"/>
          <w:szCs w:val="20"/>
        </w:rPr>
        <w:t>, unless applicable law requires,</w:t>
      </w:r>
      <w:r w:rsidRPr="003A1EB6">
        <w:rPr>
          <w:rFonts w:ascii="Arial" w:hAnsi="Arial" w:cs="Arial"/>
          <w:sz w:val="20"/>
          <w:szCs w:val="20"/>
        </w:rPr>
        <w:t xml:space="preserve"> to pay to Borrower interest on the </w:t>
      </w:r>
      <w:r>
        <w:rPr>
          <w:rFonts w:ascii="Arial" w:hAnsi="Arial" w:cs="Arial"/>
          <w:sz w:val="20"/>
          <w:szCs w:val="20"/>
        </w:rPr>
        <w:t>p</w:t>
      </w:r>
      <w:r w:rsidRPr="003A1EB6">
        <w:rPr>
          <w:rFonts w:ascii="Arial" w:hAnsi="Arial" w:cs="Arial"/>
          <w:sz w:val="20"/>
          <w:szCs w:val="20"/>
        </w:rPr>
        <w:t xml:space="preserve">roceeds, nor will </w:t>
      </w:r>
      <w:r w:rsidR="00075D47">
        <w:rPr>
          <w:rFonts w:ascii="Arial" w:hAnsi="Arial" w:cs="Arial"/>
          <w:sz w:val="20"/>
          <w:szCs w:val="20"/>
        </w:rPr>
        <w:t>Funding Lender</w:t>
      </w:r>
      <w:r w:rsidRPr="003A1EB6">
        <w:rPr>
          <w:rFonts w:ascii="Arial" w:hAnsi="Arial" w:cs="Arial"/>
          <w:sz w:val="20"/>
          <w:szCs w:val="20"/>
        </w:rPr>
        <w:t xml:space="preserve"> or Loan Servicer have any liability or obligation to Borrower with regard to loss of the </w:t>
      </w:r>
      <w:r>
        <w:rPr>
          <w:rFonts w:ascii="Arial" w:hAnsi="Arial" w:cs="Arial"/>
          <w:sz w:val="20"/>
          <w:szCs w:val="20"/>
        </w:rPr>
        <w:t>p</w:t>
      </w:r>
      <w:r w:rsidRPr="003A1EB6">
        <w:rPr>
          <w:rFonts w:ascii="Arial" w:hAnsi="Arial" w:cs="Arial"/>
          <w:sz w:val="20"/>
          <w:szCs w:val="20"/>
        </w:rPr>
        <w:t>roceeds except by reason of its own gross negligence or intentional misconduct.</w:t>
      </w:r>
    </w:p>
    <w:p w14:paraId="570DD409" w14:textId="77777777" w:rsidR="006663C5" w:rsidRPr="003A1EB6" w:rsidRDefault="006663C5" w:rsidP="006663C5">
      <w:pPr>
        <w:pStyle w:val="NormalHangingIndent2"/>
        <w:spacing w:after="0"/>
        <w:ind w:left="2880"/>
        <w:jc w:val="left"/>
        <w:rPr>
          <w:rFonts w:ascii="Arial" w:hAnsi="Arial" w:cs="Arial"/>
          <w:sz w:val="20"/>
          <w:szCs w:val="20"/>
        </w:rPr>
      </w:pPr>
    </w:p>
    <w:p w14:paraId="488C389B" w14:textId="0EDD8B7F" w:rsidR="006663C5" w:rsidRPr="003A1EB6" w:rsidRDefault="006663C5" w:rsidP="006663C5">
      <w:pPr>
        <w:pStyle w:val="NormalHangingIndent2"/>
        <w:spacing w:after="0"/>
        <w:ind w:left="2880"/>
        <w:jc w:val="left"/>
        <w:rPr>
          <w:rFonts w:ascii="Arial" w:hAnsi="Arial" w:cs="Arial"/>
          <w:sz w:val="20"/>
          <w:szCs w:val="20"/>
        </w:rPr>
      </w:pPr>
      <w:r w:rsidRPr="003A1EB6">
        <w:rPr>
          <w:rFonts w:ascii="Arial" w:hAnsi="Arial" w:cs="Arial"/>
          <w:sz w:val="20"/>
          <w:szCs w:val="20"/>
        </w:rPr>
        <w:t>(</w:t>
      </w:r>
      <w:r w:rsidR="00CD37F5">
        <w:rPr>
          <w:rFonts w:ascii="Arial" w:hAnsi="Arial" w:cs="Arial"/>
          <w:sz w:val="20"/>
          <w:szCs w:val="20"/>
        </w:rPr>
        <w:t>v</w:t>
      </w:r>
      <w:r w:rsidRPr="003A1EB6">
        <w:rPr>
          <w:rFonts w:ascii="Arial" w:hAnsi="Arial" w:cs="Arial"/>
          <w:sz w:val="20"/>
          <w:szCs w:val="20"/>
        </w:rPr>
        <w:t>)</w:t>
      </w:r>
      <w:r w:rsidRPr="003A1EB6">
        <w:rPr>
          <w:rFonts w:ascii="Arial" w:hAnsi="Arial" w:cs="Arial"/>
          <w:sz w:val="20"/>
          <w:szCs w:val="20"/>
        </w:rPr>
        <w:tab/>
      </w:r>
      <w:r w:rsidRPr="003A1EB6">
        <w:rPr>
          <w:rFonts w:ascii="Arial" w:hAnsi="Arial" w:cs="Arial"/>
          <w:sz w:val="20"/>
          <w:szCs w:val="20"/>
          <w:u w:val="single"/>
        </w:rPr>
        <w:t>Release of Rental Achievement Letter of Credit; Return of Proceeds</w:t>
      </w:r>
      <w:r w:rsidRPr="003A1EB6">
        <w:rPr>
          <w:rFonts w:ascii="Arial" w:hAnsi="Arial" w:cs="Arial"/>
          <w:sz w:val="20"/>
          <w:szCs w:val="20"/>
        </w:rPr>
        <w:t xml:space="preserve">. </w:t>
      </w:r>
      <w:r w:rsidR="00075D47">
        <w:rPr>
          <w:rFonts w:ascii="Arial" w:hAnsi="Arial" w:cs="Arial"/>
          <w:sz w:val="20"/>
          <w:szCs w:val="20"/>
        </w:rPr>
        <w:t>Funding Lender</w:t>
      </w:r>
      <w:r w:rsidRPr="003A1EB6">
        <w:rPr>
          <w:rFonts w:ascii="Arial" w:hAnsi="Arial" w:cs="Arial"/>
          <w:sz w:val="20"/>
          <w:szCs w:val="20"/>
        </w:rPr>
        <w:t xml:space="preserve"> will release the Rental Achievement Letter of Credit or, as applicable, return the </w:t>
      </w:r>
      <w:r>
        <w:rPr>
          <w:rFonts w:ascii="Arial" w:hAnsi="Arial" w:cs="Arial"/>
          <w:sz w:val="20"/>
          <w:szCs w:val="20"/>
        </w:rPr>
        <w:t>p</w:t>
      </w:r>
      <w:r w:rsidRPr="003A1EB6">
        <w:rPr>
          <w:rFonts w:ascii="Arial" w:hAnsi="Arial" w:cs="Arial"/>
          <w:sz w:val="20"/>
          <w:szCs w:val="20"/>
        </w:rPr>
        <w:t>roceeds to Borrower, within 30 days after the first of the following to occur:</w:t>
      </w:r>
    </w:p>
    <w:p w14:paraId="46647C42" w14:textId="77777777" w:rsidR="006663C5" w:rsidRPr="003A1EB6" w:rsidRDefault="006663C5" w:rsidP="006663C5">
      <w:pPr>
        <w:pStyle w:val="NormalHangingIndent3"/>
        <w:spacing w:after="0"/>
        <w:ind w:left="3600"/>
        <w:jc w:val="left"/>
        <w:rPr>
          <w:rFonts w:ascii="Arial" w:hAnsi="Arial" w:cs="Arial"/>
          <w:sz w:val="20"/>
          <w:szCs w:val="20"/>
        </w:rPr>
      </w:pPr>
    </w:p>
    <w:p w14:paraId="17FFC3AD" w14:textId="524270BD" w:rsidR="006663C5" w:rsidRPr="003A1EB6" w:rsidRDefault="006663C5" w:rsidP="006663C5">
      <w:pPr>
        <w:pStyle w:val="NormalHangingIndent3"/>
        <w:spacing w:after="0"/>
        <w:ind w:left="3600"/>
        <w:jc w:val="left"/>
        <w:rPr>
          <w:rFonts w:ascii="Arial" w:hAnsi="Arial" w:cs="Arial"/>
          <w:sz w:val="20"/>
          <w:szCs w:val="20"/>
        </w:rPr>
      </w:pPr>
      <w:r w:rsidRPr="003A1EB6">
        <w:rPr>
          <w:rFonts w:ascii="Arial" w:hAnsi="Arial" w:cs="Arial"/>
          <w:sz w:val="20"/>
          <w:szCs w:val="20"/>
        </w:rPr>
        <w:t>(</w:t>
      </w:r>
      <w:r w:rsidR="00CD37F5">
        <w:rPr>
          <w:rFonts w:ascii="Arial" w:hAnsi="Arial" w:cs="Arial"/>
          <w:sz w:val="20"/>
          <w:szCs w:val="20"/>
        </w:rPr>
        <w:t>A</w:t>
      </w:r>
      <w:r w:rsidRPr="003A1EB6">
        <w:rPr>
          <w:rFonts w:ascii="Arial" w:hAnsi="Arial" w:cs="Arial"/>
          <w:sz w:val="20"/>
          <w:szCs w:val="20"/>
        </w:rPr>
        <w:t>)</w:t>
      </w:r>
      <w:r w:rsidRPr="003A1EB6">
        <w:rPr>
          <w:rFonts w:ascii="Arial" w:hAnsi="Arial" w:cs="Arial"/>
          <w:sz w:val="20"/>
          <w:szCs w:val="20"/>
        </w:rPr>
        <w:tab/>
        <w:t>Payment in full of the Indebtedness.</w:t>
      </w:r>
    </w:p>
    <w:p w14:paraId="4A027334" w14:textId="77777777" w:rsidR="006663C5" w:rsidRPr="003A1EB6" w:rsidRDefault="006663C5" w:rsidP="006663C5">
      <w:pPr>
        <w:pStyle w:val="NormalHangingIndent3"/>
        <w:spacing w:after="0"/>
        <w:ind w:left="3600"/>
        <w:jc w:val="left"/>
        <w:rPr>
          <w:rFonts w:ascii="Arial" w:hAnsi="Arial" w:cs="Arial"/>
          <w:sz w:val="20"/>
          <w:szCs w:val="20"/>
        </w:rPr>
      </w:pPr>
    </w:p>
    <w:p w14:paraId="5B0A63F0" w14:textId="1B4F1299" w:rsidR="006663C5" w:rsidRPr="003A1EB6" w:rsidRDefault="006663C5" w:rsidP="006663C5">
      <w:pPr>
        <w:pStyle w:val="NormalHangingIndent3"/>
        <w:spacing w:after="0"/>
        <w:ind w:left="3600"/>
        <w:jc w:val="left"/>
        <w:rPr>
          <w:rFonts w:ascii="Arial" w:hAnsi="Arial" w:cs="Arial"/>
          <w:sz w:val="20"/>
          <w:szCs w:val="20"/>
        </w:rPr>
      </w:pPr>
      <w:r w:rsidRPr="003A1EB6">
        <w:rPr>
          <w:rFonts w:ascii="Arial" w:hAnsi="Arial" w:cs="Arial"/>
          <w:sz w:val="20"/>
          <w:szCs w:val="20"/>
        </w:rPr>
        <w:t>(</w:t>
      </w:r>
      <w:r w:rsidR="00CD37F5">
        <w:rPr>
          <w:rFonts w:ascii="Arial" w:hAnsi="Arial" w:cs="Arial"/>
          <w:sz w:val="20"/>
          <w:szCs w:val="20"/>
        </w:rPr>
        <w:t>B</w:t>
      </w:r>
      <w:r w:rsidRPr="003A1EB6">
        <w:rPr>
          <w:rFonts w:ascii="Arial" w:hAnsi="Arial" w:cs="Arial"/>
          <w:sz w:val="20"/>
          <w:szCs w:val="20"/>
        </w:rPr>
        <w:t>)</w:t>
      </w:r>
      <w:r w:rsidRPr="003A1EB6">
        <w:rPr>
          <w:rFonts w:ascii="Arial" w:hAnsi="Arial" w:cs="Arial"/>
          <w:sz w:val="20"/>
          <w:szCs w:val="20"/>
        </w:rPr>
        <w:tab/>
      </w:r>
      <w:r>
        <w:rPr>
          <w:rFonts w:ascii="Arial" w:hAnsi="Arial" w:cs="Arial"/>
          <w:sz w:val="20"/>
          <w:szCs w:val="20"/>
        </w:rPr>
        <w:t xml:space="preserve">Provided no Event of Default has occurred and is continuing, upon </w:t>
      </w:r>
      <w:r w:rsidR="00075D47">
        <w:rPr>
          <w:rFonts w:ascii="Arial" w:hAnsi="Arial" w:cs="Arial"/>
          <w:sz w:val="20"/>
          <w:szCs w:val="20"/>
        </w:rPr>
        <w:t>Funding Lender</w:t>
      </w:r>
      <w:r>
        <w:rPr>
          <w:rFonts w:ascii="Arial" w:hAnsi="Arial" w:cs="Arial"/>
          <w:sz w:val="20"/>
          <w:szCs w:val="20"/>
        </w:rPr>
        <w:t xml:space="preserve">’s receipt of a Release Request confirming to </w:t>
      </w:r>
      <w:r w:rsidR="00075D47">
        <w:rPr>
          <w:rFonts w:ascii="Arial" w:hAnsi="Arial" w:cs="Arial"/>
          <w:sz w:val="20"/>
          <w:szCs w:val="20"/>
        </w:rPr>
        <w:t>Funding Lender</w:t>
      </w:r>
      <w:r>
        <w:rPr>
          <w:rFonts w:ascii="Arial" w:hAnsi="Arial" w:cs="Arial"/>
          <w:sz w:val="20"/>
          <w:szCs w:val="20"/>
        </w:rPr>
        <w:t>’s satisfaction that the Mortgaged Property has met the Performance Standard prior to the Earn Out Expiration Date.</w:t>
      </w:r>
    </w:p>
    <w:p w14:paraId="27CBDF48" w14:textId="07827C81" w:rsidR="006663C5" w:rsidRPr="006663C5" w:rsidRDefault="006663C5" w:rsidP="00CD37F5">
      <w:pPr>
        <w:pStyle w:val="NormalHangingIndent1"/>
        <w:keepNext/>
        <w:keepLines/>
        <w:spacing w:after="0"/>
        <w:ind w:left="2160"/>
        <w:jc w:val="left"/>
      </w:pPr>
      <w:r>
        <w:rPr>
          <w:rFonts w:ascii="Arial" w:hAnsi="Arial" w:cs="Arial"/>
          <w:sz w:val="20"/>
          <w:szCs w:val="20"/>
        </w:rPr>
        <w:lastRenderedPageBreak/>
        <w:t xml:space="preserve"> </w:t>
      </w:r>
    </w:p>
    <w:p w14:paraId="57041991" w14:textId="1B944C52" w:rsidR="00C4757C" w:rsidRPr="00B330B8" w:rsidRDefault="00C4757C" w:rsidP="00C4757C">
      <w:pPr>
        <w:ind w:left="2160" w:hanging="720"/>
        <w:rPr>
          <w:rFonts w:cs="Arial"/>
        </w:rPr>
      </w:pPr>
      <w:bookmarkStart w:id="4" w:name="_Hlk87647263"/>
      <w:r w:rsidRPr="00B330B8">
        <w:rPr>
          <w:rFonts w:cs="Arial"/>
        </w:rPr>
        <w:t>(</w:t>
      </w:r>
      <w:r w:rsidR="00CD37F5">
        <w:rPr>
          <w:rFonts w:cs="Arial"/>
        </w:rPr>
        <w:t>c</w:t>
      </w:r>
      <w:r w:rsidRPr="00B330B8">
        <w:rPr>
          <w:rFonts w:cs="Arial"/>
        </w:rPr>
        <w:t>)</w:t>
      </w:r>
      <w:r w:rsidRPr="00B330B8">
        <w:rPr>
          <w:rFonts w:cs="Arial"/>
        </w:rPr>
        <w:tab/>
      </w:r>
      <w:r w:rsidRPr="00B330B8">
        <w:rPr>
          <w:rFonts w:cs="Arial"/>
          <w:u w:val="single"/>
        </w:rPr>
        <w:t>Calculating the Performance Standard.</w:t>
      </w:r>
      <w:r w:rsidRPr="00B330B8">
        <w:rPr>
          <w:rFonts w:cs="Arial"/>
        </w:rPr>
        <w:t xml:space="preserve"> For purposes of this Section</w:t>
      </w:r>
      <w:r w:rsidR="00CD37F5">
        <w:rPr>
          <w:rFonts w:cs="Arial"/>
        </w:rPr>
        <w:t> </w:t>
      </w:r>
      <w:r w:rsidRPr="00B330B8">
        <w:rPr>
          <w:rFonts w:cs="Arial"/>
        </w:rPr>
        <w:t>4.0</w:t>
      </w:r>
      <w:r>
        <w:rPr>
          <w:rFonts w:cs="Arial"/>
        </w:rPr>
        <w:t>6</w:t>
      </w:r>
      <w:r w:rsidRPr="00B330B8">
        <w:rPr>
          <w:rFonts w:cs="Arial"/>
        </w:rPr>
        <w:t>, “</w:t>
      </w:r>
      <w:r w:rsidRPr="00B330B8">
        <w:rPr>
          <w:rFonts w:cs="Arial"/>
          <w:b/>
        </w:rPr>
        <w:t>Performance Standard</w:t>
      </w:r>
      <w:r w:rsidRPr="00B330B8">
        <w:rPr>
          <w:rFonts w:cs="Arial"/>
        </w:rPr>
        <w:t>” means</w:t>
      </w:r>
      <w:r>
        <w:rPr>
          <w:rFonts w:cs="Arial"/>
        </w:rPr>
        <w:t xml:space="preserve"> the Performance Standard marked in </w:t>
      </w:r>
      <w:r w:rsidR="00CD37F5">
        <w:rPr>
          <w:rFonts w:cs="Arial"/>
        </w:rPr>
        <w:t xml:space="preserve">the “Rental Achievement” table in </w:t>
      </w:r>
      <w:r w:rsidR="00BA4779">
        <w:rPr>
          <w:rFonts w:cs="Arial"/>
        </w:rPr>
        <w:t>Section 1.03</w:t>
      </w:r>
      <w:r>
        <w:rPr>
          <w:rFonts w:cs="Arial"/>
        </w:rPr>
        <w:t>, each of which is described below</w:t>
      </w:r>
      <w:r w:rsidRPr="00B330B8">
        <w:rPr>
          <w:rFonts w:cs="Arial"/>
        </w:rPr>
        <w:t>:</w:t>
      </w:r>
    </w:p>
    <w:p w14:paraId="5355A146" w14:textId="77777777" w:rsidR="00C4757C" w:rsidRPr="00B330B8" w:rsidRDefault="00C4757C" w:rsidP="00C4757C">
      <w:pPr>
        <w:ind w:left="2160" w:hanging="720"/>
        <w:rPr>
          <w:rFonts w:cs="Arial"/>
        </w:rPr>
      </w:pPr>
    </w:p>
    <w:p w14:paraId="1718E3DB" w14:textId="43893FD0" w:rsidR="00C4757C" w:rsidRPr="005A0C48" w:rsidRDefault="00C4757C" w:rsidP="00C4757C">
      <w:pPr>
        <w:ind w:left="2880" w:hanging="720"/>
        <w:rPr>
          <w:rFonts w:cs="Arial"/>
          <w:b/>
        </w:rPr>
      </w:pPr>
      <w:r w:rsidRPr="005A0C48">
        <w:rPr>
          <w:rFonts w:cs="Arial"/>
          <w:bCs/>
        </w:rPr>
        <w:t>(i)</w:t>
      </w:r>
      <w:r w:rsidRPr="005A0C48">
        <w:rPr>
          <w:rFonts w:cs="Arial"/>
          <w:bCs/>
        </w:rPr>
        <w:tab/>
        <w:t>“</w:t>
      </w:r>
      <w:r w:rsidRPr="005A0C48">
        <w:rPr>
          <w:rFonts w:cs="Arial"/>
          <w:b/>
        </w:rPr>
        <w:t>NOI Performance Standard</w:t>
      </w:r>
      <w:r w:rsidRPr="005A0C48">
        <w:rPr>
          <w:rFonts w:cs="Arial"/>
          <w:bCs/>
        </w:rPr>
        <w:t>” means th</w:t>
      </w:r>
      <w:r w:rsidRPr="005A0C48">
        <w:rPr>
          <w:rFonts w:cs="Arial"/>
        </w:rPr>
        <w:t xml:space="preserve">e achievement of an NOI that supports the Required Debt Coverage Ratio, as determined by </w:t>
      </w:r>
      <w:r w:rsidR="00075D47">
        <w:rPr>
          <w:rFonts w:cs="Arial"/>
        </w:rPr>
        <w:t>Funding Lender</w:t>
      </w:r>
      <w:r>
        <w:rPr>
          <w:rFonts w:cs="Arial"/>
        </w:rPr>
        <w:t>, measured over the Performance Standard Evaluation Period</w:t>
      </w:r>
      <w:r w:rsidRPr="005A0C48">
        <w:rPr>
          <w:rFonts w:cs="Arial"/>
        </w:rPr>
        <w:t xml:space="preserve">. </w:t>
      </w:r>
    </w:p>
    <w:p w14:paraId="30EA11D7" w14:textId="77777777" w:rsidR="00C4757C" w:rsidRPr="005A0C48" w:rsidRDefault="00C4757C" w:rsidP="00C4757C">
      <w:pPr>
        <w:ind w:left="2160"/>
        <w:rPr>
          <w:rFonts w:cs="Arial"/>
        </w:rPr>
      </w:pPr>
    </w:p>
    <w:p w14:paraId="1EBB314F" w14:textId="77777777" w:rsidR="00C4757C" w:rsidRPr="005A0C48" w:rsidRDefault="00C4757C" w:rsidP="00C4757C">
      <w:pPr>
        <w:ind w:left="2880" w:hanging="720"/>
        <w:rPr>
          <w:rFonts w:cs="Arial"/>
          <w:b/>
        </w:rPr>
      </w:pPr>
      <w:r w:rsidRPr="005A0C48">
        <w:rPr>
          <w:rFonts w:cs="Arial"/>
          <w:bCs/>
        </w:rPr>
        <w:t>(ii)</w:t>
      </w:r>
      <w:r w:rsidRPr="005A0C48">
        <w:rPr>
          <w:rFonts w:cs="Arial"/>
          <w:bCs/>
        </w:rPr>
        <w:tab/>
        <w:t>“</w:t>
      </w:r>
      <w:r w:rsidRPr="005A0C48">
        <w:rPr>
          <w:rFonts w:cs="Arial"/>
          <w:b/>
        </w:rPr>
        <w:t>Occupancy and Income Performance Standard</w:t>
      </w:r>
      <w:r w:rsidRPr="005A0C48">
        <w:rPr>
          <w:rFonts w:cs="Arial"/>
          <w:bCs/>
        </w:rPr>
        <w:t xml:space="preserve">” means that </w:t>
      </w:r>
      <w:r>
        <w:rPr>
          <w:rFonts w:cs="Arial"/>
          <w:bCs/>
        </w:rPr>
        <w:t xml:space="preserve">over the Performance Standard Evaluation Period, </w:t>
      </w:r>
      <w:r w:rsidRPr="005A0C48">
        <w:rPr>
          <w:rFonts w:cs="Arial"/>
          <w:bCs/>
        </w:rPr>
        <w:t>b</w:t>
      </w:r>
      <w:r w:rsidRPr="005A0C48">
        <w:rPr>
          <w:rFonts w:cs="Arial"/>
        </w:rPr>
        <w:t>oth of the following have occurred:</w:t>
      </w:r>
    </w:p>
    <w:p w14:paraId="0E5F7320" w14:textId="77777777" w:rsidR="00C4757C" w:rsidRPr="00B330B8" w:rsidRDefault="00C4757C" w:rsidP="00C4757C">
      <w:pPr>
        <w:ind w:left="2160"/>
        <w:rPr>
          <w:rFonts w:cs="Arial"/>
        </w:rPr>
      </w:pPr>
    </w:p>
    <w:p w14:paraId="7ED05AC7" w14:textId="0361EC4D" w:rsidR="00C4757C" w:rsidRPr="00B330B8" w:rsidRDefault="00C4757C" w:rsidP="00C4757C">
      <w:pPr>
        <w:ind w:left="3600" w:hanging="720"/>
        <w:rPr>
          <w:rFonts w:cs="Arial"/>
        </w:rPr>
      </w:pPr>
      <w:r w:rsidRPr="00B330B8">
        <w:rPr>
          <w:rFonts w:cs="Arial"/>
        </w:rPr>
        <w:t>(</w:t>
      </w:r>
      <w:r>
        <w:rPr>
          <w:rFonts w:cs="Arial"/>
        </w:rPr>
        <w:t>A</w:t>
      </w:r>
      <w:r w:rsidRPr="00B330B8">
        <w:rPr>
          <w:rFonts w:cs="Arial"/>
        </w:rPr>
        <w:t>)</w:t>
      </w:r>
      <w:r w:rsidRPr="00B330B8">
        <w:rPr>
          <w:rFonts w:cs="Arial"/>
        </w:rPr>
        <w:tab/>
        <w:t xml:space="preserve">The ratio of units leased to tenants (under Leases meeting the requirements set forth in this </w:t>
      </w:r>
      <w:r w:rsidR="00EA4B48">
        <w:rPr>
          <w:rFonts w:cs="Arial"/>
        </w:rPr>
        <w:t>Continuing Covenant Agreement</w:t>
      </w:r>
      <w:r w:rsidRPr="00B330B8">
        <w:rPr>
          <w:rFonts w:cs="Arial"/>
        </w:rPr>
        <w:t>) to total rentable units equals at least the Required Percentage of Rentable Units.</w:t>
      </w:r>
    </w:p>
    <w:p w14:paraId="1A37816D" w14:textId="77777777" w:rsidR="00C4757C" w:rsidRPr="00B330B8" w:rsidRDefault="00C4757C" w:rsidP="00C4757C">
      <w:pPr>
        <w:ind w:left="3600" w:hanging="720"/>
        <w:rPr>
          <w:rFonts w:cs="Arial"/>
        </w:rPr>
      </w:pPr>
    </w:p>
    <w:p w14:paraId="5E6CF342" w14:textId="5EB3025D" w:rsidR="00C4757C" w:rsidRPr="00B330B8" w:rsidRDefault="00C4757C" w:rsidP="00C4757C">
      <w:pPr>
        <w:ind w:left="3600" w:hanging="720"/>
        <w:rPr>
          <w:rFonts w:cs="Arial"/>
        </w:rPr>
      </w:pPr>
      <w:r w:rsidRPr="00B330B8">
        <w:rPr>
          <w:rFonts w:cs="Arial"/>
        </w:rPr>
        <w:t>(</w:t>
      </w:r>
      <w:r>
        <w:rPr>
          <w:rFonts w:cs="Arial"/>
        </w:rPr>
        <w:t>B</w:t>
      </w:r>
      <w:r w:rsidRPr="00B330B8">
        <w:rPr>
          <w:rFonts w:cs="Arial"/>
        </w:rPr>
        <w:t>)</w:t>
      </w:r>
      <w:r w:rsidRPr="00B330B8">
        <w:rPr>
          <w:rFonts w:cs="Arial"/>
        </w:rPr>
        <w:tab/>
        <w:t xml:space="preserve">The monthly rents actually collected from tenants, net of Concessions and Bad Debt, as calculated and allocated by </w:t>
      </w:r>
      <w:r w:rsidR="00075D47">
        <w:rPr>
          <w:rFonts w:cs="Arial"/>
        </w:rPr>
        <w:t>Funding Lender</w:t>
      </w:r>
      <w:r w:rsidRPr="00B330B8">
        <w:rPr>
          <w:rFonts w:cs="Arial"/>
        </w:rPr>
        <w:t>, equals at least the Required Rents.</w:t>
      </w:r>
    </w:p>
    <w:p w14:paraId="14BD21D1" w14:textId="77777777" w:rsidR="00C4757C" w:rsidRPr="00B330B8" w:rsidRDefault="00C4757C" w:rsidP="00C4757C">
      <w:pPr>
        <w:ind w:left="2160"/>
        <w:rPr>
          <w:rFonts w:cs="Arial"/>
        </w:rPr>
      </w:pPr>
    </w:p>
    <w:p w14:paraId="36C7058D" w14:textId="77777777" w:rsidR="00C4757C" w:rsidRPr="004B47F7" w:rsidRDefault="00C4757C" w:rsidP="00C4757C">
      <w:pPr>
        <w:ind w:left="2880" w:hanging="720"/>
        <w:rPr>
          <w:rFonts w:cs="Arial"/>
          <w:b/>
          <w:highlight w:val="yellow"/>
        </w:rPr>
      </w:pPr>
      <w:r w:rsidRPr="005A0C48">
        <w:rPr>
          <w:rFonts w:cs="Arial"/>
          <w:bCs/>
        </w:rPr>
        <w:t>(i</w:t>
      </w:r>
      <w:r>
        <w:rPr>
          <w:rFonts w:cs="Arial"/>
          <w:bCs/>
        </w:rPr>
        <w:t>i</w:t>
      </w:r>
      <w:r w:rsidRPr="005A0C48">
        <w:rPr>
          <w:rFonts w:cs="Arial"/>
          <w:bCs/>
        </w:rPr>
        <w:t>i)</w:t>
      </w:r>
      <w:r w:rsidRPr="005A0C48">
        <w:rPr>
          <w:rFonts w:cs="Arial"/>
          <w:bCs/>
        </w:rPr>
        <w:tab/>
        <w:t>“</w:t>
      </w:r>
      <w:r w:rsidRPr="005A0C48">
        <w:rPr>
          <w:rFonts w:cs="Arial"/>
          <w:b/>
        </w:rPr>
        <w:t>Occupancy, Income, and NOI Performance Standard</w:t>
      </w:r>
      <w:r w:rsidRPr="005A0C48">
        <w:rPr>
          <w:rFonts w:cs="Arial"/>
          <w:bCs/>
        </w:rPr>
        <w:t xml:space="preserve">” means that </w:t>
      </w:r>
      <w:r>
        <w:rPr>
          <w:rFonts w:cs="Arial"/>
          <w:bCs/>
        </w:rPr>
        <w:t xml:space="preserve">over the Performance Standard Evaluation Period, </w:t>
      </w:r>
      <w:r w:rsidRPr="005A0C48">
        <w:rPr>
          <w:rFonts w:cs="Arial"/>
          <w:bCs/>
        </w:rPr>
        <w:t>a</w:t>
      </w:r>
      <w:r w:rsidRPr="005A0C48">
        <w:rPr>
          <w:rFonts w:cs="Arial"/>
        </w:rPr>
        <w:t>ll the</w:t>
      </w:r>
      <w:r w:rsidRPr="00B330B8">
        <w:rPr>
          <w:rFonts w:cs="Arial"/>
        </w:rPr>
        <w:t xml:space="preserve"> following have occurred:</w:t>
      </w:r>
    </w:p>
    <w:p w14:paraId="0C2CB5A9" w14:textId="77777777" w:rsidR="00C4757C" w:rsidRPr="00B330B8" w:rsidRDefault="00C4757C" w:rsidP="00C4757C">
      <w:pPr>
        <w:ind w:left="2160"/>
        <w:rPr>
          <w:rFonts w:cs="Arial"/>
        </w:rPr>
      </w:pPr>
    </w:p>
    <w:p w14:paraId="2A41DA28" w14:textId="146E9310" w:rsidR="00C4757C" w:rsidRPr="00B330B8" w:rsidRDefault="00C4757C" w:rsidP="00C4757C">
      <w:pPr>
        <w:ind w:left="3600" w:hanging="720"/>
        <w:rPr>
          <w:rFonts w:cs="Arial"/>
        </w:rPr>
      </w:pPr>
      <w:r w:rsidRPr="00B330B8">
        <w:rPr>
          <w:rFonts w:cs="Arial"/>
        </w:rPr>
        <w:t>(</w:t>
      </w:r>
      <w:r>
        <w:rPr>
          <w:rFonts w:cs="Arial"/>
        </w:rPr>
        <w:t>A</w:t>
      </w:r>
      <w:r w:rsidRPr="00B330B8">
        <w:rPr>
          <w:rFonts w:cs="Arial"/>
        </w:rPr>
        <w:t>)</w:t>
      </w:r>
      <w:r w:rsidRPr="00B330B8">
        <w:rPr>
          <w:rFonts w:cs="Arial"/>
        </w:rPr>
        <w:tab/>
        <w:t xml:space="preserve">The ratio of units leased to tenants (under Leases meeting the requirements set forth in this </w:t>
      </w:r>
      <w:r w:rsidR="00EA4B48">
        <w:rPr>
          <w:rFonts w:cs="Arial"/>
        </w:rPr>
        <w:t>Continuing Covenant Agreement</w:t>
      </w:r>
      <w:r w:rsidRPr="00B330B8">
        <w:rPr>
          <w:rFonts w:cs="Arial"/>
        </w:rPr>
        <w:t>) to total rentable units equals at least the Required Percentage of Rentable Units.</w:t>
      </w:r>
    </w:p>
    <w:p w14:paraId="3B5AE821" w14:textId="77777777" w:rsidR="00C4757C" w:rsidRPr="00B330B8" w:rsidRDefault="00C4757C" w:rsidP="00C4757C">
      <w:pPr>
        <w:ind w:left="2160"/>
        <w:rPr>
          <w:rFonts w:cs="Arial"/>
        </w:rPr>
      </w:pPr>
    </w:p>
    <w:p w14:paraId="29880B4A" w14:textId="710C8827" w:rsidR="00C4757C" w:rsidRPr="00B330B8" w:rsidRDefault="00C4757C" w:rsidP="00C4757C">
      <w:pPr>
        <w:ind w:left="3600" w:hanging="720"/>
        <w:rPr>
          <w:rFonts w:cs="Arial"/>
        </w:rPr>
      </w:pPr>
      <w:r w:rsidRPr="00B330B8">
        <w:rPr>
          <w:rFonts w:cs="Arial"/>
        </w:rPr>
        <w:t>(</w:t>
      </w:r>
      <w:r>
        <w:rPr>
          <w:rFonts w:cs="Arial"/>
        </w:rPr>
        <w:t>B</w:t>
      </w:r>
      <w:r w:rsidRPr="00B330B8">
        <w:rPr>
          <w:rFonts w:cs="Arial"/>
        </w:rPr>
        <w:t>)</w:t>
      </w:r>
      <w:r w:rsidRPr="00B330B8">
        <w:rPr>
          <w:rFonts w:cs="Arial"/>
        </w:rPr>
        <w:tab/>
        <w:t xml:space="preserve">Monthly rents actually collected from tenants, net of Concessions and Bad Debt as calculated and allocated by </w:t>
      </w:r>
      <w:r w:rsidR="00075D47">
        <w:rPr>
          <w:rFonts w:cs="Arial"/>
        </w:rPr>
        <w:t>Funding Lender</w:t>
      </w:r>
      <w:r w:rsidRPr="00B330B8">
        <w:rPr>
          <w:rFonts w:cs="Arial"/>
        </w:rPr>
        <w:t>, equals at least the Required Rents.</w:t>
      </w:r>
    </w:p>
    <w:p w14:paraId="6325CC6E" w14:textId="77777777" w:rsidR="00C4757C" w:rsidRPr="00B330B8" w:rsidRDefault="00C4757C" w:rsidP="00C4757C">
      <w:pPr>
        <w:ind w:left="2160"/>
        <w:rPr>
          <w:rFonts w:cs="Arial"/>
        </w:rPr>
      </w:pPr>
    </w:p>
    <w:p w14:paraId="3C207ACB" w14:textId="08D03AFB" w:rsidR="00C4757C" w:rsidRPr="00B330B8" w:rsidRDefault="00C4757C" w:rsidP="00C4757C">
      <w:pPr>
        <w:ind w:left="3600" w:hanging="720"/>
        <w:rPr>
          <w:rFonts w:cs="Arial"/>
        </w:rPr>
      </w:pPr>
      <w:r w:rsidRPr="00B330B8">
        <w:rPr>
          <w:rFonts w:cs="Arial"/>
        </w:rPr>
        <w:t>(</w:t>
      </w:r>
      <w:r>
        <w:rPr>
          <w:rFonts w:cs="Arial"/>
        </w:rPr>
        <w:t>C</w:t>
      </w:r>
      <w:r w:rsidRPr="00B330B8">
        <w:rPr>
          <w:rFonts w:cs="Arial"/>
        </w:rPr>
        <w:t>)</w:t>
      </w:r>
      <w:r w:rsidRPr="00B330B8">
        <w:rPr>
          <w:rFonts w:cs="Arial"/>
        </w:rPr>
        <w:tab/>
        <w:t xml:space="preserve">The NOI supports the Required Debt Coverage Ratio as determined by </w:t>
      </w:r>
      <w:r w:rsidR="00075D47">
        <w:rPr>
          <w:rFonts w:cs="Arial"/>
        </w:rPr>
        <w:t>Funding Lender</w:t>
      </w:r>
      <w:r w:rsidRPr="00B330B8">
        <w:rPr>
          <w:rFonts w:cs="Arial"/>
        </w:rPr>
        <w:t>.</w:t>
      </w:r>
    </w:p>
    <w:p w14:paraId="451387A0" w14:textId="77777777" w:rsidR="00C4757C" w:rsidRPr="00B330B8" w:rsidRDefault="00C4757C" w:rsidP="00C4757C">
      <w:pPr>
        <w:ind w:left="2160"/>
        <w:rPr>
          <w:rFonts w:cs="Arial"/>
        </w:rPr>
      </w:pPr>
    </w:p>
    <w:p w14:paraId="1946E2B7" w14:textId="762D4A78" w:rsidR="00C4757C" w:rsidRPr="00B330B8" w:rsidRDefault="00C4757C" w:rsidP="00C4757C">
      <w:pPr>
        <w:ind w:left="2160" w:hanging="720"/>
        <w:rPr>
          <w:rFonts w:cs="Arial"/>
        </w:rPr>
      </w:pPr>
      <w:r w:rsidRPr="00B330B8">
        <w:rPr>
          <w:rFonts w:cs="Arial"/>
        </w:rPr>
        <w:t>(</w:t>
      </w:r>
      <w:r w:rsidR="00DA0784">
        <w:rPr>
          <w:rFonts w:cs="Arial"/>
        </w:rPr>
        <w:t>d</w:t>
      </w:r>
      <w:r w:rsidRPr="00B330B8">
        <w:rPr>
          <w:rFonts w:cs="Arial"/>
        </w:rPr>
        <w:t>)</w:t>
      </w:r>
      <w:r w:rsidRPr="00B330B8">
        <w:rPr>
          <w:rFonts w:cs="Arial"/>
        </w:rPr>
        <w:tab/>
        <w:t>In calculating the Performance Standard for any requirements of this Section</w:t>
      </w:r>
      <w:r w:rsidR="006D2C11">
        <w:rPr>
          <w:rFonts w:cs="Arial"/>
        </w:rPr>
        <w:t> </w:t>
      </w:r>
      <w:r w:rsidRPr="00B330B8">
        <w:rPr>
          <w:rFonts w:cs="Arial"/>
        </w:rPr>
        <w:t>4.0</w:t>
      </w:r>
      <w:r>
        <w:rPr>
          <w:rFonts w:cs="Arial"/>
        </w:rPr>
        <w:t>6</w:t>
      </w:r>
      <w:r w:rsidRPr="00B330B8">
        <w:rPr>
          <w:rFonts w:cs="Arial"/>
        </w:rPr>
        <w:t>, the following terms will have the meanings set forth below (if applicable):</w:t>
      </w:r>
    </w:p>
    <w:p w14:paraId="4F7434EF" w14:textId="77777777" w:rsidR="00C4757C" w:rsidRPr="00B330B8" w:rsidRDefault="00C4757C" w:rsidP="00C4757C">
      <w:pPr>
        <w:ind w:left="2160"/>
        <w:rPr>
          <w:rFonts w:cs="Arial"/>
        </w:rPr>
      </w:pPr>
    </w:p>
    <w:p w14:paraId="381FA657" w14:textId="77777777" w:rsidR="00C4757C" w:rsidRPr="00B330B8" w:rsidRDefault="00C4757C" w:rsidP="00C4757C">
      <w:pPr>
        <w:pStyle w:val="BodyTextIndent2"/>
        <w:spacing w:after="0" w:line="240" w:lineRule="auto"/>
        <w:ind w:left="2160"/>
        <w:rPr>
          <w:rFonts w:cs="Arial"/>
        </w:rPr>
      </w:pPr>
      <w:r w:rsidRPr="00B330B8">
        <w:rPr>
          <w:rFonts w:cs="Arial"/>
        </w:rPr>
        <w:t>“</w:t>
      </w:r>
      <w:r w:rsidRPr="00B330B8">
        <w:rPr>
          <w:rFonts w:cs="Arial"/>
          <w:b/>
          <w:bCs/>
        </w:rPr>
        <w:t>Acceptable Other Income</w:t>
      </w:r>
      <w:r w:rsidRPr="00B330B8">
        <w:rPr>
          <w:rFonts w:cs="Arial"/>
        </w:rPr>
        <w:t xml:space="preserve">” means the lesser of Actual Acceptable Other Income or the Underwritten Acceptable Other Income. </w:t>
      </w:r>
    </w:p>
    <w:p w14:paraId="313D3890" w14:textId="77777777" w:rsidR="00C4757C" w:rsidRPr="00B330B8" w:rsidRDefault="00C4757C" w:rsidP="00C4757C">
      <w:pPr>
        <w:pStyle w:val="BodyTextIndent2"/>
        <w:spacing w:after="0" w:line="240" w:lineRule="auto"/>
        <w:ind w:left="2160"/>
        <w:rPr>
          <w:rFonts w:cs="Arial"/>
        </w:rPr>
      </w:pPr>
    </w:p>
    <w:p w14:paraId="14AFC7CE" w14:textId="5EF35234" w:rsidR="00C4757C" w:rsidRPr="00B330B8" w:rsidRDefault="00C4757C" w:rsidP="00C4757C">
      <w:pPr>
        <w:pStyle w:val="BodyTextIndent2"/>
        <w:spacing w:after="0" w:line="240" w:lineRule="auto"/>
        <w:ind w:left="2160"/>
        <w:rPr>
          <w:rFonts w:cs="Arial"/>
        </w:rPr>
      </w:pPr>
      <w:r w:rsidRPr="00B330B8">
        <w:rPr>
          <w:rFonts w:cs="Arial"/>
          <w:color w:val="0D0D0D"/>
        </w:rPr>
        <w:t>“</w:t>
      </w:r>
      <w:r w:rsidRPr="00B330B8">
        <w:rPr>
          <w:rFonts w:cs="Arial"/>
          <w:b/>
          <w:color w:val="0D0D0D"/>
        </w:rPr>
        <w:t>Actual Acceptable Other Income</w:t>
      </w:r>
      <w:r w:rsidRPr="00B330B8">
        <w:rPr>
          <w:rFonts w:cs="Arial"/>
          <w:color w:val="0D0D0D"/>
        </w:rPr>
        <w:t>” means the averaged and annualized amount of any other income derived from the Mortgaged Property</w:t>
      </w:r>
      <w:r w:rsidRPr="00B330B8">
        <w:rPr>
          <w:rFonts w:cs="Arial"/>
        </w:rPr>
        <w:t>, other than Gross Potential Rent</w:t>
      </w:r>
      <w:r w:rsidRPr="00B330B8">
        <w:rPr>
          <w:rFonts w:cs="Arial"/>
          <w:color w:val="0D0D0D"/>
        </w:rPr>
        <w:t xml:space="preserve"> and any interest income, that has been</w:t>
      </w:r>
      <w:r w:rsidRPr="00B330B8">
        <w:rPr>
          <w:rFonts w:cs="Arial"/>
        </w:rPr>
        <w:t xml:space="preserve"> collected </w:t>
      </w:r>
      <w:r w:rsidRPr="00B330B8">
        <w:rPr>
          <w:rFonts w:cs="Arial"/>
          <w:color w:val="0D0D0D"/>
        </w:rPr>
        <w:t xml:space="preserve">consistently </w:t>
      </w:r>
      <w:r w:rsidRPr="00B330B8">
        <w:rPr>
          <w:rFonts w:cs="Arial"/>
        </w:rPr>
        <w:t xml:space="preserve">by Borrower </w:t>
      </w:r>
      <w:r w:rsidRPr="00B330B8">
        <w:rPr>
          <w:rFonts w:cs="Arial"/>
          <w:color w:val="0D0D0D"/>
        </w:rPr>
        <w:t>during the preceding 3 months (T-3) and</w:t>
      </w:r>
      <w:r w:rsidRPr="00B330B8">
        <w:rPr>
          <w:rFonts w:cs="Arial"/>
        </w:rPr>
        <w:t xml:space="preserve"> that is acceptable to and approved by </w:t>
      </w:r>
      <w:r w:rsidR="00075D47">
        <w:rPr>
          <w:rFonts w:cs="Arial"/>
        </w:rPr>
        <w:t>Funding Lender</w:t>
      </w:r>
      <w:r w:rsidRPr="00B330B8">
        <w:rPr>
          <w:rFonts w:cs="Arial"/>
        </w:rPr>
        <w:t xml:space="preserve"> in </w:t>
      </w:r>
      <w:r w:rsidR="00075D47">
        <w:rPr>
          <w:rFonts w:cs="Arial"/>
        </w:rPr>
        <w:t>Funding Lender</w:t>
      </w:r>
      <w:r w:rsidRPr="00B330B8">
        <w:rPr>
          <w:rFonts w:cs="Arial"/>
          <w:color w:val="0D0D0D"/>
        </w:rPr>
        <w:t>’s sole discretion.</w:t>
      </w:r>
    </w:p>
    <w:p w14:paraId="3690D4FF" w14:textId="77777777" w:rsidR="00C4757C" w:rsidRPr="00B330B8" w:rsidRDefault="00C4757C" w:rsidP="00C4757C">
      <w:pPr>
        <w:pStyle w:val="BodyTextIndent2"/>
        <w:spacing w:after="0" w:line="240" w:lineRule="auto"/>
        <w:ind w:left="2160"/>
        <w:rPr>
          <w:rFonts w:cs="Arial"/>
          <w:color w:val="0D0D0D"/>
        </w:rPr>
      </w:pPr>
    </w:p>
    <w:p w14:paraId="6D480616" w14:textId="65AED2E4" w:rsidR="00C4757C" w:rsidRPr="00B330B8" w:rsidRDefault="00C4757C" w:rsidP="00C4757C">
      <w:pPr>
        <w:pStyle w:val="BodyTextIndent2"/>
        <w:spacing w:after="0" w:line="240" w:lineRule="auto"/>
        <w:ind w:left="2160"/>
        <w:rPr>
          <w:rFonts w:cs="Arial"/>
          <w:color w:val="0D0D0D"/>
        </w:rPr>
      </w:pPr>
      <w:r w:rsidRPr="00B330B8">
        <w:rPr>
          <w:rFonts w:cs="Arial"/>
          <w:color w:val="0D0D0D"/>
        </w:rPr>
        <w:t>“</w:t>
      </w:r>
      <w:r w:rsidRPr="00B330B8">
        <w:rPr>
          <w:rFonts w:cs="Arial"/>
          <w:b/>
          <w:color w:val="0D0D0D"/>
        </w:rPr>
        <w:t>Actual Fixed Expenses</w:t>
      </w:r>
      <w:r w:rsidRPr="00B330B8">
        <w:rPr>
          <w:rFonts w:cs="Arial"/>
          <w:color w:val="0D0D0D"/>
        </w:rPr>
        <w:t xml:space="preserve">” means: (i) Taxes for the Mortgaged Property, (ii) Insurance premiums, and (iii) expenses for utilities, water, and sewer for the preceding 3 months (T-3). Capital expenditures are specifically excluded from this definition. For the purposes of determining the amount of Taxes for the Mortgaged Property, </w:t>
      </w:r>
      <w:r w:rsidR="00075D47">
        <w:rPr>
          <w:rFonts w:cs="Arial"/>
          <w:color w:val="0D0D0D"/>
        </w:rPr>
        <w:t>Funding Lender</w:t>
      </w:r>
      <w:r w:rsidRPr="00B330B8">
        <w:rPr>
          <w:rFonts w:cs="Arial"/>
          <w:color w:val="0D0D0D"/>
        </w:rPr>
        <w:t xml:space="preserve">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w:t>
      </w:r>
      <w:r w:rsidR="00075D47">
        <w:rPr>
          <w:rFonts w:cs="Arial"/>
          <w:color w:val="0D0D0D"/>
        </w:rPr>
        <w:t>Funding Lender</w:t>
      </w:r>
      <w:r w:rsidRPr="00B330B8">
        <w:rPr>
          <w:rFonts w:cs="Arial"/>
          <w:color w:val="0D0D0D"/>
        </w:rPr>
        <w:t xml:space="preserve"> may base its determination on the actual premiums in place or the premiums to be in effect within the next 12 months, if known. </w:t>
      </w:r>
    </w:p>
    <w:p w14:paraId="7F1E76D2" w14:textId="77777777" w:rsidR="00C4757C" w:rsidRPr="00B330B8" w:rsidRDefault="00C4757C" w:rsidP="00C4757C">
      <w:pPr>
        <w:pStyle w:val="BodyTextIndent2"/>
        <w:spacing w:after="0" w:line="240" w:lineRule="auto"/>
        <w:ind w:left="2160"/>
        <w:rPr>
          <w:rFonts w:cs="Arial"/>
          <w:color w:val="0D0D0D"/>
        </w:rPr>
      </w:pPr>
    </w:p>
    <w:p w14:paraId="4EC147CE" w14:textId="77777777" w:rsidR="00C4757C" w:rsidRPr="00B330B8" w:rsidRDefault="00C4757C" w:rsidP="00C4757C">
      <w:pPr>
        <w:pStyle w:val="BodyTextIndent2"/>
        <w:spacing w:after="0" w:line="240" w:lineRule="auto"/>
        <w:ind w:left="2160"/>
        <w:rPr>
          <w:rFonts w:cs="Arial"/>
          <w:color w:val="0D0D0D"/>
        </w:rPr>
      </w:pPr>
      <w:r w:rsidRPr="00B330B8">
        <w:rPr>
          <w:rFonts w:cs="Arial"/>
        </w:rPr>
        <w:t>“</w:t>
      </w:r>
      <w:r w:rsidRPr="00B330B8">
        <w:rPr>
          <w:rFonts w:cs="Arial"/>
          <w:b/>
        </w:rPr>
        <w:t>Actual Operating Expenses</w:t>
      </w:r>
      <w:r w:rsidRPr="00B330B8">
        <w:rPr>
          <w:rFonts w:cs="Arial"/>
        </w:rPr>
        <w:t>” means</w:t>
      </w:r>
      <w:r w:rsidRPr="00B330B8">
        <w:rPr>
          <w:rFonts w:cs="Arial"/>
          <w:color w:val="0D0D0D"/>
        </w:rPr>
        <w:t xml:space="preserve"> operating expenses for the </w:t>
      </w:r>
      <w:r w:rsidRPr="00B330B8">
        <w:rPr>
          <w:rFonts w:cs="Arial"/>
        </w:rPr>
        <w:t xml:space="preserve">Mortgaged Property for the </w:t>
      </w:r>
      <w:r w:rsidRPr="00B330B8">
        <w:rPr>
          <w:rFonts w:cs="Arial"/>
          <w:color w:val="0D0D0D"/>
        </w:rPr>
        <w:t xml:space="preserve">preceding </w:t>
      </w:r>
      <w:r w:rsidRPr="00B330B8">
        <w:rPr>
          <w:rFonts w:cs="Arial"/>
        </w:rPr>
        <w:t>3</w:t>
      </w:r>
      <w:r w:rsidRPr="00B330B8">
        <w:rPr>
          <w:rFonts w:cs="Arial"/>
          <w:color w:val="0D0D0D"/>
        </w:rPr>
        <w:t xml:space="preserve"> months (T-</w:t>
      </w:r>
      <w:r w:rsidRPr="00B330B8">
        <w:rPr>
          <w:rFonts w:cs="Arial"/>
        </w:rPr>
        <w:t>3), including the expenses for repair and maintenance of the Mortgaged Property, the Management Fee, payroll expenses, general and administrative expenses, and other miscellaneous operating expenses. Capital expenditures are specifically</w:t>
      </w:r>
      <w:r w:rsidRPr="00B330B8">
        <w:rPr>
          <w:rFonts w:cs="Arial"/>
          <w:color w:val="0D0D0D"/>
        </w:rPr>
        <w:t xml:space="preserve"> excluded from this definition.</w:t>
      </w:r>
    </w:p>
    <w:p w14:paraId="67EC8ADE" w14:textId="77777777" w:rsidR="00C4757C" w:rsidRPr="00B330B8" w:rsidRDefault="00C4757C" w:rsidP="00C4757C">
      <w:pPr>
        <w:pStyle w:val="BodyTextIndent2"/>
        <w:spacing w:after="0" w:line="240" w:lineRule="auto"/>
        <w:ind w:left="2160"/>
        <w:rPr>
          <w:rFonts w:cs="Arial"/>
        </w:rPr>
      </w:pPr>
    </w:p>
    <w:p w14:paraId="7898491A" w14:textId="77777777" w:rsidR="00C4757C" w:rsidRPr="00B330B8" w:rsidRDefault="00C4757C" w:rsidP="00C4757C">
      <w:pPr>
        <w:pStyle w:val="BodyTextIndent2"/>
        <w:spacing w:after="0" w:line="240" w:lineRule="auto"/>
        <w:ind w:left="2160"/>
        <w:rPr>
          <w:rFonts w:cs="Arial"/>
          <w:color w:val="000000"/>
        </w:rPr>
      </w:pPr>
      <w:r w:rsidRPr="00B330B8">
        <w:rPr>
          <w:rFonts w:cs="Arial"/>
        </w:rPr>
        <w:t>“</w:t>
      </w:r>
      <w:r w:rsidRPr="00B330B8">
        <w:rPr>
          <w:rFonts w:cs="Arial"/>
          <w:b/>
        </w:rPr>
        <w:t>Bad Debt</w:t>
      </w:r>
      <w:r w:rsidRPr="00B330B8">
        <w:rPr>
          <w:rFonts w:cs="Arial"/>
        </w:rPr>
        <w:t xml:space="preserve">” means </w:t>
      </w:r>
      <w:r w:rsidRPr="00B330B8">
        <w:rPr>
          <w:rFonts w:eastAsia="Arial Unicode MS" w:cs="Arial"/>
        </w:rPr>
        <w:t>that portion of Gross Potential Rent which is assumed not to be collected by Borrower due to tenant non-payment</w:t>
      </w:r>
      <w:r w:rsidRPr="00B330B8">
        <w:rPr>
          <w:rFonts w:cs="Arial"/>
        </w:rPr>
        <w:t>.</w:t>
      </w:r>
    </w:p>
    <w:p w14:paraId="05395E37" w14:textId="77777777" w:rsidR="00C4757C" w:rsidRPr="00B330B8" w:rsidRDefault="00C4757C" w:rsidP="00C4757C">
      <w:pPr>
        <w:pStyle w:val="BodyTextIndent2"/>
        <w:spacing w:after="0" w:line="240" w:lineRule="auto"/>
        <w:ind w:left="2160"/>
        <w:rPr>
          <w:rFonts w:cs="Arial"/>
        </w:rPr>
      </w:pPr>
    </w:p>
    <w:p w14:paraId="04E00986" w14:textId="77777777" w:rsidR="00C4757C" w:rsidRPr="00B330B8" w:rsidRDefault="00C4757C" w:rsidP="00C4757C">
      <w:pPr>
        <w:pStyle w:val="BodyTextIndent2"/>
        <w:spacing w:after="0" w:line="240" w:lineRule="auto"/>
        <w:ind w:left="2160"/>
        <w:rPr>
          <w:rFonts w:cs="Arial"/>
        </w:rPr>
      </w:pPr>
      <w:r w:rsidRPr="00B330B8">
        <w:rPr>
          <w:rFonts w:cs="Arial"/>
        </w:rPr>
        <w:t>“</w:t>
      </w:r>
      <w:r w:rsidRPr="00B330B8">
        <w:rPr>
          <w:rFonts w:cs="Arial"/>
          <w:b/>
          <w:bCs/>
        </w:rPr>
        <w:t>Concessions</w:t>
      </w:r>
      <w:r w:rsidRPr="00B330B8">
        <w:rPr>
          <w:rFonts w:cs="Arial"/>
        </w:rPr>
        <w:t>” means: (i) rental abatements, (ii) “free” rent, (iii) inducements, and (iv) other incentives.</w:t>
      </w:r>
    </w:p>
    <w:p w14:paraId="21DA0D3C" w14:textId="77777777" w:rsidR="00C4757C" w:rsidRPr="00B330B8" w:rsidRDefault="00C4757C" w:rsidP="00C4757C">
      <w:pPr>
        <w:pStyle w:val="BodyTextIndent2"/>
        <w:spacing w:after="0" w:line="240" w:lineRule="auto"/>
        <w:ind w:left="2159"/>
        <w:rPr>
          <w:rFonts w:cs="Arial"/>
        </w:rPr>
      </w:pPr>
    </w:p>
    <w:p w14:paraId="453A6913" w14:textId="44823E89" w:rsidR="00C4757C" w:rsidRPr="00B330B8" w:rsidRDefault="00C4757C" w:rsidP="00C4757C">
      <w:pPr>
        <w:pStyle w:val="BodyTextIndent2"/>
        <w:spacing w:after="0" w:line="240" w:lineRule="auto"/>
        <w:ind w:left="2159"/>
        <w:rPr>
          <w:rFonts w:cs="Arial"/>
        </w:rPr>
      </w:pPr>
      <w:r w:rsidRPr="00B330B8">
        <w:rPr>
          <w:rFonts w:cs="Arial"/>
        </w:rPr>
        <w:t>“</w:t>
      </w:r>
      <w:r w:rsidRPr="00B330B8">
        <w:rPr>
          <w:rFonts w:cs="Arial"/>
          <w:b/>
          <w:bCs/>
        </w:rPr>
        <w:t>Effective Gross Income</w:t>
      </w:r>
      <w:r w:rsidRPr="00B330B8">
        <w:rPr>
          <w:rFonts w:cs="Arial"/>
        </w:rPr>
        <w:t xml:space="preserve">” means the positive annualized amount of the </w:t>
      </w:r>
      <w:r w:rsidRPr="00B330B8">
        <w:rPr>
          <w:rFonts w:cs="Arial"/>
          <w:bCs/>
        </w:rPr>
        <w:t>Gross Potential Rent,</w:t>
      </w:r>
      <w:r w:rsidRPr="00B330B8">
        <w:rPr>
          <w:rFonts w:cs="Arial"/>
        </w:rPr>
        <w:t xml:space="preserve"> net of the </w:t>
      </w:r>
      <w:r w:rsidRPr="00B330B8">
        <w:rPr>
          <w:rFonts w:cs="Arial"/>
          <w:bCs/>
        </w:rPr>
        <w:t xml:space="preserve">Concessions, </w:t>
      </w:r>
      <w:r w:rsidRPr="00B330B8">
        <w:rPr>
          <w:rFonts w:cs="Arial"/>
        </w:rPr>
        <w:t xml:space="preserve">subject to the Vacancy Rate, minus Bad Debt, plus the </w:t>
      </w:r>
      <w:r w:rsidRPr="00B330B8">
        <w:rPr>
          <w:rFonts w:cs="Arial"/>
          <w:bCs/>
        </w:rPr>
        <w:t>Acceptable Other Income.</w:t>
      </w:r>
    </w:p>
    <w:p w14:paraId="6CDDD32B" w14:textId="77777777" w:rsidR="00C4757C" w:rsidRPr="00B330B8" w:rsidRDefault="00C4757C" w:rsidP="00C4757C">
      <w:pPr>
        <w:pStyle w:val="BodyTextIndent2"/>
        <w:spacing w:after="0" w:line="240" w:lineRule="auto"/>
        <w:ind w:left="2159"/>
        <w:rPr>
          <w:rFonts w:cs="Arial"/>
        </w:rPr>
      </w:pPr>
    </w:p>
    <w:p w14:paraId="14FB0D96" w14:textId="3F246FC4" w:rsidR="00C4757C" w:rsidRPr="00B330B8" w:rsidRDefault="00C4757C" w:rsidP="00C4757C">
      <w:pPr>
        <w:pStyle w:val="BodyTextIndent2"/>
        <w:spacing w:after="0" w:line="240" w:lineRule="auto"/>
        <w:ind w:left="2159"/>
        <w:rPr>
          <w:rFonts w:cs="Arial"/>
        </w:rPr>
      </w:pPr>
      <w:r w:rsidRPr="00B330B8">
        <w:rPr>
          <w:rFonts w:cs="Arial"/>
        </w:rPr>
        <w:t>“</w:t>
      </w:r>
      <w:r w:rsidRPr="00B330B8">
        <w:rPr>
          <w:rFonts w:cs="Arial"/>
          <w:b/>
          <w:bCs/>
        </w:rPr>
        <w:t>Expenses</w:t>
      </w:r>
      <w:r w:rsidRPr="00B330B8">
        <w:rPr>
          <w:rFonts w:cs="Arial"/>
        </w:rPr>
        <w:t xml:space="preserve">” means the Fixed Expenses plus Operating Expenses plus the annualized amount of the </w:t>
      </w:r>
      <w:r w:rsidR="002173D0">
        <w:rPr>
          <w:rFonts w:cs="Arial"/>
        </w:rPr>
        <w:t>M</w:t>
      </w:r>
      <w:r w:rsidRPr="00B330B8">
        <w:rPr>
          <w:rFonts w:cs="Arial"/>
        </w:rPr>
        <w:t>onthly Replacement Reserve Deposit (even if such deposit is deferred).</w:t>
      </w:r>
    </w:p>
    <w:p w14:paraId="7E44FBCB" w14:textId="77777777" w:rsidR="00C4757C" w:rsidRPr="00B330B8" w:rsidRDefault="00C4757C" w:rsidP="00C4757C">
      <w:pPr>
        <w:pStyle w:val="BodyTextIndent2"/>
        <w:spacing w:after="0" w:line="240" w:lineRule="auto"/>
        <w:ind w:left="2159"/>
        <w:rPr>
          <w:rFonts w:cs="Arial"/>
        </w:rPr>
      </w:pPr>
    </w:p>
    <w:p w14:paraId="377CA5D0" w14:textId="77777777" w:rsidR="00C4757C" w:rsidRPr="00B330B8" w:rsidRDefault="00C4757C" w:rsidP="00C4757C">
      <w:pPr>
        <w:pStyle w:val="BodyTextIndent2"/>
        <w:spacing w:after="0" w:line="240" w:lineRule="auto"/>
        <w:ind w:left="2159"/>
        <w:rPr>
          <w:rFonts w:cs="Arial"/>
        </w:rPr>
      </w:pPr>
      <w:r w:rsidRPr="00B330B8">
        <w:rPr>
          <w:rFonts w:cs="Arial"/>
        </w:rPr>
        <w:t>“</w:t>
      </w:r>
      <w:r w:rsidRPr="00B330B8">
        <w:rPr>
          <w:rFonts w:cs="Arial"/>
          <w:b/>
        </w:rPr>
        <w:t xml:space="preserve">Fixed </w:t>
      </w:r>
      <w:r w:rsidRPr="00B330B8">
        <w:rPr>
          <w:rFonts w:cs="Arial"/>
          <w:b/>
          <w:bCs/>
        </w:rPr>
        <w:t>Expenses</w:t>
      </w:r>
      <w:r w:rsidRPr="00B330B8">
        <w:rPr>
          <w:rFonts w:cs="Arial"/>
        </w:rPr>
        <w:t>” means the greater of: (i) the annualized Actual Fixed Expenses for the Mortgaged Property, or (ii) the Underwritten Fixed Expenses.</w:t>
      </w:r>
    </w:p>
    <w:p w14:paraId="43F1FB32" w14:textId="77777777" w:rsidR="00C4757C" w:rsidRPr="00B330B8" w:rsidRDefault="00C4757C" w:rsidP="00C4757C">
      <w:pPr>
        <w:pStyle w:val="NormalWeb"/>
        <w:spacing w:before="0" w:beforeAutospacing="0" w:after="0" w:afterAutospacing="0"/>
        <w:ind w:left="2159" w:firstLine="1"/>
        <w:rPr>
          <w:rFonts w:ascii="Arial" w:hAnsi="Arial" w:cs="Arial"/>
          <w:bCs/>
          <w:sz w:val="20"/>
          <w:szCs w:val="20"/>
        </w:rPr>
      </w:pPr>
    </w:p>
    <w:p w14:paraId="353E96D0" w14:textId="2CF65EA7" w:rsidR="00C4757C" w:rsidRPr="00F666F7" w:rsidRDefault="00C4757C" w:rsidP="00C4757C">
      <w:pPr>
        <w:pStyle w:val="NormalWeb"/>
        <w:spacing w:before="0" w:beforeAutospacing="0" w:after="0" w:afterAutospacing="0"/>
        <w:ind w:left="2159" w:firstLine="1"/>
        <w:rPr>
          <w:rFonts w:ascii="Arial" w:hAnsi="Arial" w:cs="Arial"/>
          <w:sz w:val="20"/>
          <w:szCs w:val="20"/>
        </w:rPr>
      </w:pPr>
      <w:r w:rsidRPr="00B330B8">
        <w:rPr>
          <w:rFonts w:ascii="Arial" w:hAnsi="Arial" w:cs="Arial"/>
          <w:bCs/>
          <w:sz w:val="20"/>
          <w:szCs w:val="20"/>
        </w:rPr>
        <w:t>“</w:t>
      </w:r>
      <w:r w:rsidRPr="00B330B8">
        <w:rPr>
          <w:rFonts w:ascii="Arial" w:hAnsi="Arial" w:cs="Arial"/>
          <w:b/>
          <w:bCs/>
          <w:sz w:val="20"/>
          <w:szCs w:val="20"/>
        </w:rPr>
        <w:t>Gross Potential Rent</w:t>
      </w:r>
      <w:r w:rsidRPr="00B330B8">
        <w:rPr>
          <w:rFonts w:ascii="Arial" w:hAnsi="Arial" w:cs="Arial"/>
          <w:bCs/>
          <w:sz w:val="20"/>
          <w:szCs w:val="20"/>
        </w:rPr>
        <w:t>”</w:t>
      </w:r>
      <w:r w:rsidRPr="00B330B8">
        <w:rPr>
          <w:rFonts w:ascii="Arial" w:hAnsi="Arial" w:cs="Arial"/>
          <w:sz w:val="20"/>
          <w:szCs w:val="20"/>
        </w:rPr>
        <w:t xml:space="preserve"> means the sum of: (i) monthly rents actually collected from tenants under residential Leases identified in each of the most current rent rolls, and (ii) achievable monthly rents attributable to residential vacant units, calculated at market rents, as determined by </w:t>
      </w:r>
      <w:r w:rsidR="00075D47">
        <w:rPr>
          <w:rFonts w:ascii="Arial" w:hAnsi="Arial" w:cs="Arial"/>
          <w:sz w:val="20"/>
          <w:szCs w:val="20"/>
        </w:rPr>
        <w:t>Funding Lender</w:t>
      </w:r>
      <w:r w:rsidRPr="00B330B8">
        <w:rPr>
          <w:rFonts w:ascii="Arial" w:hAnsi="Arial" w:cs="Arial"/>
          <w:sz w:val="20"/>
          <w:szCs w:val="20"/>
        </w:rPr>
        <w:t xml:space="preserve"> in </w:t>
      </w:r>
      <w:r w:rsidR="00075D47">
        <w:rPr>
          <w:rFonts w:ascii="Arial" w:hAnsi="Arial" w:cs="Arial"/>
          <w:sz w:val="20"/>
          <w:szCs w:val="20"/>
        </w:rPr>
        <w:t>Funding Lender</w:t>
      </w:r>
      <w:r w:rsidRPr="00B330B8">
        <w:rPr>
          <w:rFonts w:ascii="Arial" w:hAnsi="Arial" w:cs="Arial"/>
          <w:sz w:val="20"/>
          <w:szCs w:val="20"/>
        </w:rPr>
        <w:t xml:space="preserve">'s Discretion. </w:t>
      </w:r>
      <w:r w:rsidR="00921B6C">
        <w:rPr>
          <w:rFonts w:ascii="Arial" w:hAnsi="Arial" w:cs="Arial"/>
          <w:sz w:val="20"/>
          <w:szCs w:val="20"/>
        </w:rPr>
        <w:t>(</w:t>
      </w:r>
      <w:r w:rsidRPr="00B330B8">
        <w:rPr>
          <w:rFonts w:ascii="Arial" w:hAnsi="Arial" w:cs="Arial"/>
          <w:sz w:val="20"/>
          <w:szCs w:val="20"/>
        </w:rPr>
        <w:t xml:space="preserve">Market rents attributable to employee and model units may be included in the calculation of Gross Potential Rent if </w:t>
      </w:r>
      <w:r w:rsidRPr="00F666F7">
        <w:rPr>
          <w:rFonts w:ascii="Arial" w:hAnsi="Arial" w:cs="Arial"/>
          <w:sz w:val="20"/>
          <w:szCs w:val="20"/>
        </w:rPr>
        <w:t>they are also included in operating expenses.</w:t>
      </w:r>
      <w:r w:rsidR="00921B6C">
        <w:rPr>
          <w:rFonts w:ascii="Arial" w:hAnsi="Arial" w:cs="Arial"/>
          <w:sz w:val="20"/>
          <w:szCs w:val="20"/>
        </w:rPr>
        <w:t>)</w:t>
      </w:r>
    </w:p>
    <w:p w14:paraId="43FF41CE" w14:textId="77777777" w:rsidR="001527A8" w:rsidRDefault="001527A8" w:rsidP="00C4757C">
      <w:pPr>
        <w:pStyle w:val="NormalWeb"/>
        <w:spacing w:before="0" w:beforeAutospacing="0" w:after="0" w:afterAutospacing="0"/>
        <w:ind w:left="2159" w:firstLine="1"/>
        <w:rPr>
          <w:rFonts w:ascii="Arial" w:hAnsi="Arial" w:cs="Arial"/>
          <w:bCs/>
          <w:sz w:val="20"/>
          <w:szCs w:val="20"/>
        </w:rPr>
      </w:pPr>
    </w:p>
    <w:p w14:paraId="2FE37073" w14:textId="281B8D0F" w:rsidR="00C4757C" w:rsidRPr="00B330B8" w:rsidRDefault="00C4757C" w:rsidP="00C4757C">
      <w:pPr>
        <w:pStyle w:val="NormalWeb"/>
        <w:spacing w:before="0" w:beforeAutospacing="0" w:after="0" w:afterAutospacing="0"/>
        <w:ind w:left="2159" w:firstLine="1"/>
        <w:rPr>
          <w:rFonts w:ascii="Arial" w:hAnsi="Arial" w:cs="Arial"/>
          <w:sz w:val="20"/>
          <w:szCs w:val="20"/>
        </w:rPr>
      </w:pPr>
      <w:r w:rsidRPr="00F666F7">
        <w:rPr>
          <w:rFonts w:ascii="Arial" w:hAnsi="Arial" w:cs="Arial"/>
          <w:bCs/>
          <w:sz w:val="20"/>
          <w:szCs w:val="20"/>
        </w:rPr>
        <w:t>“</w:t>
      </w:r>
      <w:r w:rsidRPr="00F666F7">
        <w:rPr>
          <w:rFonts w:ascii="Arial" w:hAnsi="Arial" w:cs="Arial"/>
          <w:b/>
          <w:bCs/>
          <w:sz w:val="20"/>
          <w:szCs w:val="20"/>
        </w:rPr>
        <w:t>Management Fee</w:t>
      </w:r>
      <w:r w:rsidRPr="00F666F7">
        <w:rPr>
          <w:rFonts w:ascii="Arial" w:hAnsi="Arial" w:cs="Arial"/>
          <w:bCs/>
          <w:sz w:val="20"/>
          <w:szCs w:val="20"/>
        </w:rPr>
        <w:t>”</w:t>
      </w:r>
      <w:r w:rsidRPr="00F666F7">
        <w:rPr>
          <w:rFonts w:ascii="Arial" w:hAnsi="Arial" w:cs="Arial"/>
          <w:sz w:val="20"/>
          <w:szCs w:val="20"/>
        </w:rPr>
        <w:t xml:space="preserve"> means the Property</w:t>
      </w:r>
      <w:r w:rsidRPr="00B330B8">
        <w:rPr>
          <w:rFonts w:ascii="Arial" w:hAnsi="Arial" w:cs="Arial"/>
          <w:sz w:val="20"/>
          <w:szCs w:val="20"/>
        </w:rPr>
        <w:t xml:space="preserve"> Manager’s contractual management fee at the time of the applicable calculation.</w:t>
      </w:r>
    </w:p>
    <w:p w14:paraId="435DB20F" w14:textId="77777777" w:rsidR="00C4757C" w:rsidRPr="00B330B8" w:rsidRDefault="00C4757C" w:rsidP="00C4757C">
      <w:pPr>
        <w:pStyle w:val="BodyTextIndent2"/>
        <w:spacing w:after="0" w:line="240" w:lineRule="auto"/>
        <w:ind w:left="2159" w:firstLine="2"/>
        <w:rPr>
          <w:rFonts w:cs="Arial"/>
        </w:rPr>
      </w:pPr>
    </w:p>
    <w:p w14:paraId="7C84D1D2" w14:textId="77777777" w:rsidR="00C4757C"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b/>
          <w:bCs/>
        </w:rPr>
      </w:pPr>
      <w:r w:rsidRPr="00B330B8">
        <w:rPr>
          <w:rFonts w:cs="Arial"/>
          <w:bCs/>
        </w:rPr>
        <w:t>“</w:t>
      </w:r>
      <w:r w:rsidRPr="00B330B8">
        <w:rPr>
          <w:rFonts w:cs="Arial"/>
          <w:b/>
          <w:bCs/>
        </w:rPr>
        <w:t>NOI</w:t>
      </w:r>
      <w:r w:rsidRPr="00B330B8">
        <w:rPr>
          <w:rFonts w:cs="Arial"/>
          <w:b/>
        </w:rPr>
        <w:t>”</w:t>
      </w:r>
      <w:r w:rsidRPr="00B330B8">
        <w:rPr>
          <w:rFonts w:cs="Arial"/>
        </w:rPr>
        <w:t xml:space="preserve"> means the positive, annualized amount by which </w:t>
      </w:r>
      <w:r w:rsidRPr="00B330B8">
        <w:rPr>
          <w:rFonts w:cs="Arial"/>
          <w:bCs/>
        </w:rPr>
        <w:t>Effective Gross Income</w:t>
      </w:r>
      <w:r w:rsidRPr="00B330B8">
        <w:rPr>
          <w:rFonts w:cs="Arial"/>
        </w:rPr>
        <w:t xml:space="preserve"> exceeds </w:t>
      </w:r>
      <w:r w:rsidRPr="00B330B8">
        <w:rPr>
          <w:rFonts w:cs="Arial"/>
          <w:bCs/>
        </w:rPr>
        <w:t>Expenses</w:t>
      </w:r>
      <w:r w:rsidRPr="007D7628">
        <w:rPr>
          <w:rFonts w:cs="Arial"/>
        </w:rPr>
        <w:t xml:space="preserve">. </w:t>
      </w:r>
    </w:p>
    <w:p w14:paraId="0E726678" w14:textId="77777777" w:rsidR="00C4757C" w:rsidRPr="00B330B8"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bCs/>
        </w:rPr>
      </w:pPr>
    </w:p>
    <w:p w14:paraId="55D1C2C3" w14:textId="77777777" w:rsidR="00C4757C" w:rsidRPr="00B330B8" w:rsidRDefault="00C4757C" w:rsidP="00C4757C">
      <w:pPr>
        <w:pStyle w:val="BodyText2"/>
        <w:spacing w:after="0" w:line="240" w:lineRule="auto"/>
        <w:ind w:left="2160"/>
        <w:rPr>
          <w:rFonts w:cs="Arial"/>
        </w:rPr>
      </w:pPr>
      <w:r w:rsidRPr="00B330B8">
        <w:rPr>
          <w:rFonts w:cs="Arial"/>
        </w:rPr>
        <w:t>“</w:t>
      </w:r>
      <w:r w:rsidRPr="00B330B8">
        <w:rPr>
          <w:rFonts w:cs="Arial"/>
          <w:b/>
        </w:rPr>
        <w:t>Operating Expenses</w:t>
      </w:r>
      <w:r w:rsidRPr="00B330B8">
        <w:rPr>
          <w:rFonts w:cs="Arial"/>
        </w:rPr>
        <w:t>” means the greater of: (i) the annualized Actual Operating Expenses for the Mortgaged Property, or (ii) the Underwritten Operating Expenses.</w:t>
      </w:r>
    </w:p>
    <w:p w14:paraId="6B29A361" w14:textId="77777777" w:rsidR="00C4757C"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46BC2721" w14:textId="1F3EE294" w:rsidR="00DD7BA1" w:rsidRDefault="00DD7BA1"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r>
        <w:rPr>
          <w:rFonts w:cs="Arial"/>
        </w:rPr>
        <w:t>“</w:t>
      </w:r>
      <w:r w:rsidRPr="00BA4779">
        <w:rPr>
          <w:rFonts w:cs="Arial"/>
          <w:b/>
          <w:bCs/>
        </w:rPr>
        <w:t>Rental Achievement Prepayment</w:t>
      </w:r>
      <w:r>
        <w:rPr>
          <w:rFonts w:cs="Arial"/>
        </w:rPr>
        <w:t xml:space="preserve">” is defined in </w:t>
      </w:r>
      <w:r w:rsidR="006D2C11">
        <w:rPr>
          <w:rFonts w:cs="Arial"/>
        </w:rPr>
        <w:t xml:space="preserve">either </w:t>
      </w:r>
      <w:r>
        <w:rPr>
          <w:rFonts w:cs="Arial"/>
        </w:rPr>
        <w:t>Section</w:t>
      </w:r>
      <w:r w:rsidR="006D2C11">
        <w:rPr>
          <w:rFonts w:cs="Arial"/>
        </w:rPr>
        <w:t> </w:t>
      </w:r>
      <w:r>
        <w:rPr>
          <w:rFonts w:cs="Arial"/>
        </w:rPr>
        <w:t>4.06(</w:t>
      </w:r>
      <w:r w:rsidR="006D2C11">
        <w:rPr>
          <w:rFonts w:cs="Arial"/>
        </w:rPr>
        <w:t>a</w:t>
      </w:r>
      <w:r>
        <w:rPr>
          <w:rFonts w:cs="Arial"/>
        </w:rPr>
        <w:t>)</w:t>
      </w:r>
      <w:r w:rsidR="006D2C11">
        <w:rPr>
          <w:rFonts w:cs="Arial"/>
        </w:rPr>
        <w:t>(iii) or Section 4.06(b)(iii), as applicable</w:t>
      </w:r>
      <w:r>
        <w:rPr>
          <w:rFonts w:cs="Arial"/>
        </w:rPr>
        <w:t>.</w:t>
      </w:r>
    </w:p>
    <w:p w14:paraId="1DF7EF76" w14:textId="77777777" w:rsidR="00DD7BA1" w:rsidRDefault="00DD7BA1"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473FCD15" w14:textId="77777777" w:rsidR="00A76B15" w:rsidRDefault="00A76B15" w:rsidP="00A76B15">
      <w:pPr>
        <w:pStyle w:val="BodyText2"/>
        <w:tabs>
          <w:tab w:val="left" w:pos="2880"/>
          <w:tab w:val="left" w:pos="3600"/>
          <w:tab w:val="left" w:pos="4320"/>
          <w:tab w:val="left" w:pos="5040"/>
          <w:tab w:val="left" w:pos="5760"/>
          <w:tab w:val="left" w:pos="6480"/>
          <w:tab w:val="left" w:pos="7200"/>
        </w:tabs>
        <w:spacing w:after="0" w:line="240" w:lineRule="auto"/>
        <w:ind w:left="2160"/>
        <w:rPr>
          <w:rFonts w:cs="Arial"/>
          <w:bCs/>
        </w:rPr>
      </w:pPr>
      <w:r w:rsidRPr="00B330B8">
        <w:rPr>
          <w:rFonts w:cs="Arial"/>
        </w:rPr>
        <w:t>“</w:t>
      </w:r>
      <w:r w:rsidRPr="00B330B8">
        <w:rPr>
          <w:rFonts w:cs="Arial"/>
          <w:b/>
        </w:rPr>
        <w:t>Required Debt Coverage Ratio</w:t>
      </w:r>
      <w:r w:rsidRPr="00B330B8">
        <w:rPr>
          <w:rFonts w:cs="Arial"/>
        </w:rPr>
        <w:t xml:space="preserve">” </w:t>
      </w:r>
      <w:r>
        <w:rPr>
          <w:rFonts w:cs="Arial"/>
        </w:rPr>
        <w:t xml:space="preserve">is set forth in Section 1.03. </w:t>
      </w:r>
    </w:p>
    <w:p w14:paraId="4DD4C9CB" w14:textId="77777777" w:rsidR="00A76B15" w:rsidRDefault="00A76B15"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16BC7AF3" w14:textId="75AB75D8" w:rsidR="00C4757C" w:rsidRPr="00B330B8"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r w:rsidRPr="00B330B8">
        <w:rPr>
          <w:rFonts w:cs="Arial"/>
        </w:rPr>
        <w:t>“</w:t>
      </w:r>
      <w:r w:rsidRPr="00B330B8">
        <w:rPr>
          <w:rFonts w:cs="Arial"/>
          <w:b/>
        </w:rPr>
        <w:t>Required Percentage of Rentable Units</w:t>
      </w:r>
      <w:r w:rsidRPr="00B330B8">
        <w:rPr>
          <w:rFonts w:cs="Arial"/>
        </w:rPr>
        <w:t xml:space="preserve">” </w:t>
      </w:r>
      <w:r>
        <w:rPr>
          <w:rFonts w:cs="Arial"/>
        </w:rPr>
        <w:t xml:space="preserve">is set forth in </w:t>
      </w:r>
      <w:r w:rsidR="00BA4779">
        <w:rPr>
          <w:rFonts w:cs="Arial"/>
        </w:rPr>
        <w:t>Section 1.03</w:t>
      </w:r>
      <w:r>
        <w:rPr>
          <w:rFonts w:cs="Arial"/>
        </w:rPr>
        <w:t>.</w:t>
      </w:r>
    </w:p>
    <w:p w14:paraId="57C56B68" w14:textId="77777777" w:rsidR="00C4757C"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4BB65849" w14:textId="3D3CBAE2" w:rsidR="00C4757C" w:rsidRPr="00B330B8"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r w:rsidRPr="00B330B8">
        <w:rPr>
          <w:rFonts w:cs="Arial"/>
        </w:rPr>
        <w:t>“</w:t>
      </w:r>
      <w:r w:rsidRPr="00B330B8">
        <w:rPr>
          <w:rFonts w:cs="Arial"/>
          <w:b/>
        </w:rPr>
        <w:t>Required Rents</w:t>
      </w:r>
      <w:r w:rsidRPr="00B330B8">
        <w:rPr>
          <w:rFonts w:cs="Arial"/>
        </w:rPr>
        <w:t xml:space="preserve">” </w:t>
      </w:r>
      <w:r>
        <w:rPr>
          <w:rFonts w:cs="Arial"/>
        </w:rPr>
        <w:t xml:space="preserve">is set forth in </w:t>
      </w:r>
      <w:r w:rsidR="00BA4779">
        <w:rPr>
          <w:rFonts w:cs="Arial"/>
        </w:rPr>
        <w:t>Section 1.03</w:t>
      </w:r>
      <w:r>
        <w:rPr>
          <w:rFonts w:cs="Arial"/>
        </w:rPr>
        <w:t>.</w:t>
      </w:r>
    </w:p>
    <w:p w14:paraId="28AA66DD" w14:textId="77777777" w:rsidR="00C4757C" w:rsidRPr="00B330B8"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2C38FE1C" w14:textId="4AD7BFAD" w:rsidR="00C4757C" w:rsidRPr="00B330B8" w:rsidRDefault="00C4757C" w:rsidP="00C4757C">
      <w:pPr>
        <w:pStyle w:val="BodyTextIndent2"/>
        <w:spacing w:after="0" w:line="240" w:lineRule="auto"/>
        <w:ind w:left="2160"/>
        <w:rPr>
          <w:rFonts w:cs="Arial"/>
        </w:rPr>
      </w:pPr>
      <w:r w:rsidRPr="00B330B8">
        <w:rPr>
          <w:rFonts w:cs="Arial"/>
        </w:rPr>
        <w:t>“</w:t>
      </w:r>
      <w:r w:rsidRPr="00B330B8">
        <w:rPr>
          <w:rFonts w:cs="Arial"/>
          <w:b/>
        </w:rPr>
        <w:t>Underwritten Acceptable Other Income</w:t>
      </w:r>
      <w:r w:rsidRPr="00B330B8">
        <w:rPr>
          <w:rFonts w:cs="Arial"/>
        </w:rPr>
        <w:t xml:space="preserve">” </w:t>
      </w:r>
      <w:r>
        <w:rPr>
          <w:rFonts w:cs="Arial"/>
        </w:rPr>
        <w:t xml:space="preserve">is set forth in </w:t>
      </w:r>
      <w:r w:rsidR="00BA4779">
        <w:rPr>
          <w:rFonts w:cs="Arial"/>
        </w:rPr>
        <w:t>Section 1.03</w:t>
      </w:r>
      <w:r>
        <w:rPr>
          <w:rFonts w:cs="Arial"/>
        </w:rPr>
        <w:t>.</w:t>
      </w:r>
    </w:p>
    <w:p w14:paraId="21793923" w14:textId="77777777" w:rsidR="00C4757C" w:rsidRPr="00B330B8" w:rsidRDefault="00C4757C" w:rsidP="00C4757C">
      <w:pPr>
        <w:pStyle w:val="BodyTextIndent2"/>
        <w:spacing w:after="0" w:line="240" w:lineRule="auto"/>
        <w:ind w:left="2160"/>
        <w:rPr>
          <w:rFonts w:cs="Arial"/>
        </w:rPr>
      </w:pPr>
    </w:p>
    <w:p w14:paraId="4291B9B3" w14:textId="5AD365A5" w:rsidR="00C4757C" w:rsidRDefault="00C4757C" w:rsidP="006D2C11">
      <w:pPr>
        <w:pStyle w:val="BodyTextIndent2"/>
        <w:spacing w:after="0" w:line="240" w:lineRule="auto"/>
        <w:ind w:left="2160"/>
        <w:rPr>
          <w:rFonts w:cs="Arial"/>
        </w:rPr>
      </w:pPr>
      <w:r w:rsidRPr="00B330B8">
        <w:rPr>
          <w:rFonts w:cs="Arial"/>
        </w:rPr>
        <w:t>“</w:t>
      </w:r>
      <w:r w:rsidRPr="00B330B8">
        <w:rPr>
          <w:rFonts w:cs="Arial"/>
          <w:b/>
        </w:rPr>
        <w:t>Underwritten Fixed Expenses</w:t>
      </w:r>
      <w:r w:rsidRPr="00B330B8">
        <w:rPr>
          <w:rFonts w:cs="Arial"/>
        </w:rPr>
        <w:t xml:space="preserve">” </w:t>
      </w:r>
      <w:r>
        <w:rPr>
          <w:rFonts w:cs="Arial"/>
        </w:rPr>
        <w:t xml:space="preserve">is set forth in </w:t>
      </w:r>
      <w:r w:rsidR="00BA4779">
        <w:rPr>
          <w:rFonts w:cs="Arial"/>
        </w:rPr>
        <w:t>Section 1.03</w:t>
      </w:r>
      <w:r>
        <w:rPr>
          <w:rFonts w:cs="Arial"/>
        </w:rPr>
        <w:t>.</w:t>
      </w:r>
    </w:p>
    <w:p w14:paraId="7AEF5689" w14:textId="77777777" w:rsidR="006D2C11" w:rsidRPr="00B330B8" w:rsidRDefault="006D2C11" w:rsidP="006D2C11">
      <w:pPr>
        <w:pStyle w:val="BodyTextIndent2"/>
        <w:spacing w:after="0" w:line="240" w:lineRule="auto"/>
        <w:ind w:left="2160"/>
        <w:rPr>
          <w:rFonts w:cs="Arial"/>
        </w:rPr>
      </w:pPr>
    </w:p>
    <w:p w14:paraId="6B8DD487" w14:textId="4A87188A" w:rsidR="00C4757C" w:rsidRPr="00B330B8" w:rsidRDefault="00C4757C" w:rsidP="006D2C11">
      <w:pPr>
        <w:pStyle w:val="BodyTextIndent2"/>
        <w:spacing w:after="0" w:line="240" w:lineRule="auto"/>
        <w:ind w:left="2160"/>
        <w:rPr>
          <w:rFonts w:cs="Arial"/>
        </w:rPr>
      </w:pPr>
      <w:r w:rsidRPr="00B330B8">
        <w:rPr>
          <w:rFonts w:cs="Arial"/>
        </w:rPr>
        <w:t>“</w:t>
      </w:r>
      <w:r w:rsidRPr="00B330B8">
        <w:rPr>
          <w:rFonts w:cs="Arial"/>
          <w:b/>
        </w:rPr>
        <w:t>Underwritten Management Fee</w:t>
      </w:r>
      <w:r w:rsidRPr="00B330B8">
        <w:rPr>
          <w:rFonts w:cs="Arial"/>
        </w:rPr>
        <w:t xml:space="preserve">” </w:t>
      </w:r>
      <w:r>
        <w:rPr>
          <w:rFonts w:cs="Arial"/>
        </w:rPr>
        <w:t xml:space="preserve">is set forth in </w:t>
      </w:r>
      <w:r w:rsidR="00BA4779">
        <w:rPr>
          <w:rFonts w:cs="Arial"/>
        </w:rPr>
        <w:t>Section 1.03</w:t>
      </w:r>
      <w:r>
        <w:rPr>
          <w:rFonts w:cs="Arial"/>
        </w:rPr>
        <w:t>.</w:t>
      </w:r>
    </w:p>
    <w:p w14:paraId="3B1F2A57" w14:textId="77777777" w:rsidR="00C4757C" w:rsidRPr="00B330B8" w:rsidRDefault="00C4757C" w:rsidP="00C4757C">
      <w:pPr>
        <w:pStyle w:val="BodyTextIndent2"/>
        <w:spacing w:after="0" w:line="240" w:lineRule="auto"/>
        <w:ind w:left="2160"/>
        <w:rPr>
          <w:rFonts w:cs="Arial"/>
        </w:rPr>
      </w:pPr>
    </w:p>
    <w:p w14:paraId="35A829A4" w14:textId="3BC538A1" w:rsidR="00C4757C" w:rsidRPr="00B330B8" w:rsidRDefault="00C4757C" w:rsidP="00C4757C">
      <w:pPr>
        <w:pStyle w:val="BodyTextIndent2"/>
        <w:spacing w:after="0" w:line="240" w:lineRule="auto"/>
        <w:ind w:left="2160"/>
        <w:rPr>
          <w:rFonts w:cs="Arial"/>
        </w:rPr>
      </w:pPr>
      <w:r w:rsidRPr="00B330B8">
        <w:rPr>
          <w:rFonts w:cs="Arial"/>
        </w:rPr>
        <w:t>“</w:t>
      </w:r>
      <w:r w:rsidRPr="00B330B8">
        <w:rPr>
          <w:rFonts w:cs="Arial"/>
          <w:b/>
        </w:rPr>
        <w:t>Underwritten Operating Expenses</w:t>
      </w:r>
      <w:r w:rsidRPr="00B330B8">
        <w:rPr>
          <w:rFonts w:cs="Arial"/>
        </w:rPr>
        <w:t xml:space="preserve">” </w:t>
      </w:r>
      <w:r>
        <w:rPr>
          <w:rFonts w:cs="Arial"/>
        </w:rPr>
        <w:t xml:space="preserve">is the amount set forth in </w:t>
      </w:r>
      <w:r w:rsidR="00BA4779">
        <w:rPr>
          <w:rFonts w:cs="Arial"/>
        </w:rPr>
        <w:t>Section 1.03</w:t>
      </w:r>
      <w:r w:rsidRPr="00B330B8">
        <w:rPr>
          <w:rFonts w:cs="Arial"/>
        </w:rPr>
        <w:t>, which includes the Underwritten Management Fee.</w:t>
      </w:r>
    </w:p>
    <w:p w14:paraId="0F5250D9" w14:textId="77777777" w:rsidR="00C4757C" w:rsidRPr="00B330B8" w:rsidRDefault="00C4757C" w:rsidP="00C4757C">
      <w:pPr>
        <w:pStyle w:val="BodyTextIndent2"/>
        <w:spacing w:after="0" w:line="240" w:lineRule="auto"/>
        <w:ind w:left="2160"/>
        <w:rPr>
          <w:rFonts w:cs="Arial"/>
        </w:rPr>
      </w:pPr>
    </w:p>
    <w:p w14:paraId="63F44742" w14:textId="3373626A" w:rsidR="00C4757C" w:rsidRDefault="00C4757C" w:rsidP="00C4757C">
      <w:pPr>
        <w:pStyle w:val="BodyTextIndent2"/>
        <w:spacing w:after="0" w:line="240" w:lineRule="auto"/>
        <w:ind w:left="2159"/>
        <w:rPr>
          <w:rFonts w:cs="Arial"/>
        </w:rPr>
      </w:pPr>
      <w:r w:rsidRPr="00B330B8">
        <w:rPr>
          <w:rFonts w:cs="Arial"/>
          <w:bCs/>
        </w:rPr>
        <w:t>“</w:t>
      </w:r>
      <w:r w:rsidRPr="00B330B8">
        <w:rPr>
          <w:rFonts w:cs="Arial"/>
          <w:b/>
          <w:bCs/>
        </w:rPr>
        <w:t>Vacancy Rate</w:t>
      </w:r>
      <w:r w:rsidRPr="00B330B8">
        <w:rPr>
          <w:rFonts w:cs="Arial"/>
        </w:rPr>
        <w:t xml:space="preserve">” means the greater of: (i) actual vacancy, or (ii) 5%, as determined by </w:t>
      </w:r>
      <w:r w:rsidR="00075D47">
        <w:rPr>
          <w:rFonts w:cs="Arial"/>
        </w:rPr>
        <w:t>Funding Lender</w:t>
      </w:r>
      <w:r w:rsidRPr="00B330B8">
        <w:rPr>
          <w:rFonts w:cs="Arial"/>
        </w:rPr>
        <w:t>. Units occupied by employees and model units will be deemed occupied for purposes of calculating the Vacancy Rate.</w:t>
      </w:r>
    </w:p>
    <w:bookmarkEnd w:id="4"/>
    <w:p w14:paraId="406F5907" w14:textId="77777777" w:rsidR="00C4757C" w:rsidRPr="00B330B8" w:rsidRDefault="00C4757C" w:rsidP="00C4757C">
      <w:pPr>
        <w:pStyle w:val="BodyText"/>
        <w:spacing w:after="0"/>
        <w:ind w:left="749" w:hanging="749"/>
        <w:rPr>
          <w:rFonts w:ascii="Arial" w:hAnsi="Arial" w:cs="Arial"/>
          <w:sz w:val="20"/>
          <w:szCs w:val="20"/>
        </w:rPr>
      </w:pPr>
    </w:p>
    <w:p w14:paraId="0AB74174" w14:textId="77777777" w:rsidR="00C4757C" w:rsidRPr="00B330B8" w:rsidRDefault="00C4757C" w:rsidP="00C4757C">
      <w:pPr>
        <w:pStyle w:val="BodyText"/>
        <w:spacing w:after="0"/>
        <w:ind w:left="749" w:hanging="749"/>
        <w:rPr>
          <w:rFonts w:ascii="Arial" w:hAnsi="Arial" w:cs="Arial"/>
          <w:sz w:val="20"/>
          <w:szCs w:val="20"/>
        </w:rPr>
      </w:pPr>
      <w:r w:rsidRPr="00B330B8">
        <w:rPr>
          <w:rFonts w:ascii="Arial" w:hAnsi="Arial" w:cs="Arial"/>
          <w:sz w:val="20"/>
          <w:szCs w:val="20"/>
        </w:rPr>
        <w:t>B.</w:t>
      </w:r>
      <w:r w:rsidRPr="00B330B8">
        <w:rPr>
          <w:rFonts w:ascii="Arial" w:hAnsi="Arial" w:cs="Arial"/>
          <w:sz w:val="20"/>
          <w:szCs w:val="20"/>
        </w:rPr>
        <w:tab/>
        <w:t>The following definitions are added to Article XII:</w:t>
      </w:r>
    </w:p>
    <w:p w14:paraId="3356C5CD" w14:textId="77777777" w:rsidR="00C4757C" w:rsidRPr="00B330B8" w:rsidRDefault="00C4757C" w:rsidP="00C4757C">
      <w:pPr>
        <w:pStyle w:val="BodyText"/>
        <w:spacing w:after="0"/>
        <w:ind w:left="749" w:hanging="749"/>
        <w:rPr>
          <w:rFonts w:ascii="Arial" w:hAnsi="Arial" w:cs="Arial"/>
          <w:sz w:val="20"/>
          <w:szCs w:val="20"/>
        </w:rPr>
      </w:pPr>
    </w:p>
    <w:p w14:paraId="22EF07F7" w14:textId="4A228D1C" w:rsidR="00C4757C" w:rsidRPr="00B330B8" w:rsidRDefault="00C4757C" w:rsidP="00C4757C">
      <w:pPr>
        <w:pStyle w:val="NormalHangingIndent3"/>
        <w:spacing w:after="0"/>
        <w:ind w:left="720" w:firstLine="28"/>
        <w:jc w:val="left"/>
        <w:rPr>
          <w:rFonts w:ascii="Arial" w:hAnsi="Arial" w:cs="Arial"/>
          <w:sz w:val="20"/>
          <w:szCs w:val="20"/>
        </w:rPr>
      </w:pPr>
      <w:r w:rsidRPr="00B330B8">
        <w:rPr>
          <w:rFonts w:ascii="Arial" w:hAnsi="Arial" w:cs="Arial"/>
          <w:sz w:val="20"/>
          <w:szCs w:val="20"/>
        </w:rPr>
        <w:t>“</w:t>
      </w:r>
      <w:r w:rsidRPr="00B330B8">
        <w:rPr>
          <w:rFonts w:ascii="Arial" w:hAnsi="Arial" w:cs="Arial"/>
          <w:b/>
          <w:bCs/>
          <w:sz w:val="20"/>
          <w:szCs w:val="20"/>
        </w:rPr>
        <w:t>Earn Out Expiration Date</w:t>
      </w:r>
      <w:r w:rsidRPr="00B330B8">
        <w:rPr>
          <w:rFonts w:ascii="Arial" w:hAnsi="Arial" w:cs="Arial"/>
          <w:sz w:val="20"/>
          <w:szCs w:val="20"/>
        </w:rPr>
        <w:t xml:space="preserve">” </w:t>
      </w:r>
      <w:r w:rsidR="00931FB5">
        <w:rPr>
          <w:rFonts w:ascii="Arial" w:hAnsi="Arial" w:cs="Arial"/>
          <w:sz w:val="20"/>
          <w:szCs w:val="20"/>
        </w:rPr>
        <w:t xml:space="preserve">is as </w:t>
      </w:r>
      <w:r>
        <w:rPr>
          <w:rFonts w:ascii="Arial" w:hAnsi="Arial" w:cs="Arial"/>
          <w:sz w:val="20"/>
          <w:szCs w:val="20"/>
        </w:rPr>
        <w:t xml:space="preserve">specified in </w:t>
      </w:r>
      <w:r w:rsidR="00BA4779">
        <w:rPr>
          <w:rFonts w:ascii="Arial" w:hAnsi="Arial" w:cs="Arial"/>
          <w:sz w:val="20"/>
          <w:szCs w:val="20"/>
        </w:rPr>
        <w:t>Section 1.03</w:t>
      </w:r>
      <w:r>
        <w:rPr>
          <w:rFonts w:ascii="Arial" w:hAnsi="Arial" w:cs="Arial"/>
          <w:sz w:val="20"/>
          <w:szCs w:val="20"/>
        </w:rPr>
        <w:t xml:space="preserve">, as such date may be extended by </w:t>
      </w:r>
      <w:r w:rsidR="00075D47">
        <w:rPr>
          <w:rFonts w:ascii="Arial" w:hAnsi="Arial" w:cs="Arial"/>
          <w:sz w:val="20"/>
          <w:szCs w:val="20"/>
        </w:rPr>
        <w:t>Funding Lender</w:t>
      </w:r>
      <w:r>
        <w:rPr>
          <w:rFonts w:ascii="Arial" w:hAnsi="Arial" w:cs="Arial"/>
          <w:sz w:val="20"/>
          <w:szCs w:val="20"/>
        </w:rPr>
        <w:t xml:space="preserve"> in writing.</w:t>
      </w:r>
    </w:p>
    <w:p w14:paraId="1BFC450F" w14:textId="77777777" w:rsidR="00075D47" w:rsidRPr="00B61C60" w:rsidRDefault="00075D47" w:rsidP="00B61C60"/>
    <w:p w14:paraId="7EF45C97" w14:textId="04131FD7" w:rsidR="00C4757C" w:rsidRPr="00B330B8" w:rsidRDefault="00C4757C" w:rsidP="00C4757C">
      <w:pPr>
        <w:pStyle w:val="NormalHangingIndent3"/>
        <w:spacing w:after="0"/>
        <w:ind w:left="720" w:firstLine="0"/>
        <w:jc w:val="left"/>
        <w:rPr>
          <w:rFonts w:ascii="Arial" w:hAnsi="Arial" w:cs="Arial"/>
          <w:sz w:val="20"/>
          <w:szCs w:val="20"/>
        </w:rPr>
      </w:pPr>
      <w:r w:rsidRPr="00B330B8">
        <w:rPr>
          <w:rFonts w:ascii="Arial" w:hAnsi="Arial" w:cs="Arial"/>
          <w:sz w:val="20"/>
          <w:szCs w:val="20"/>
        </w:rPr>
        <w:t>“</w:t>
      </w:r>
      <w:r w:rsidRPr="00B330B8">
        <w:rPr>
          <w:rFonts w:ascii="Arial" w:hAnsi="Arial" w:cs="Arial"/>
          <w:b/>
          <w:sz w:val="20"/>
          <w:szCs w:val="20"/>
        </w:rPr>
        <w:t>Performance Standard</w:t>
      </w:r>
      <w:r w:rsidRPr="00B330B8">
        <w:rPr>
          <w:rFonts w:ascii="Arial" w:hAnsi="Arial" w:cs="Arial"/>
          <w:sz w:val="20"/>
          <w:szCs w:val="20"/>
        </w:rPr>
        <w:t>” is defined in Section</w:t>
      </w:r>
      <w:r w:rsidR="006D2C11">
        <w:rPr>
          <w:rFonts w:ascii="Arial" w:hAnsi="Arial" w:cs="Arial"/>
          <w:sz w:val="20"/>
          <w:szCs w:val="20"/>
        </w:rPr>
        <w:t> </w:t>
      </w:r>
      <w:r w:rsidRPr="00B330B8">
        <w:rPr>
          <w:rFonts w:ascii="Arial" w:hAnsi="Arial" w:cs="Arial"/>
          <w:sz w:val="20"/>
          <w:szCs w:val="20"/>
        </w:rPr>
        <w:t>4.0</w:t>
      </w:r>
      <w:r>
        <w:rPr>
          <w:rFonts w:ascii="Arial" w:hAnsi="Arial" w:cs="Arial"/>
          <w:sz w:val="20"/>
          <w:szCs w:val="20"/>
        </w:rPr>
        <w:t>6</w:t>
      </w:r>
      <w:r w:rsidRPr="00B330B8">
        <w:rPr>
          <w:rFonts w:ascii="Arial" w:hAnsi="Arial" w:cs="Arial"/>
          <w:sz w:val="20"/>
          <w:szCs w:val="20"/>
        </w:rPr>
        <w:t>(</w:t>
      </w:r>
      <w:r w:rsidR="006D2C11">
        <w:rPr>
          <w:rFonts w:ascii="Arial" w:hAnsi="Arial" w:cs="Arial"/>
          <w:sz w:val="20"/>
          <w:szCs w:val="20"/>
        </w:rPr>
        <w:t>c</w:t>
      </w:r>
      <w:r w:rsidRPr="00B330B8">
        <w:rPr>
          <w:rFonts w:ascii="Arial" w:hAnsi="Arial" w:cs="Arial"/>
          <w:sz w:val="20"/>
          <w:szCs w:val="20"/>
        </w:rPr>
        <w:t>).</w:t>
      </w:r>
    </w:p>
    <w:p w14:paraId="7F911226" w14:textId="77777777" w:rsidR="00C4757C" w:rsidRPr="00B330B8" w:rsidRDefault="00C4757C" w:rsidP="00C4757C">
      <w:pPr>
        <w:tabs>
          <w:tab w:val="left" w:pos="1122"/>
        </w:tabs>
        <w:ind w:left="720" w:firstLine="28"/>
        <w:rPr>
          <w:rFonts w:cs="Arial"/>
          <w:b/>
        </w:rPr>
      </w:pPr>
    </w:p>
    <w:p w14:paraId="7B724166" w14:textId="07F4D84F" w:rsidR="00C4757C"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721"/>
        <w:rPr>
          <w:rFonts w:cs="Arial"/>
        </w:rPr>
      </w:pPr>
      <w:bookmarkStart w:id="5" w:name="_Hlk87647323"/>
      <w:r>
        <w:rPr>
          <w:rFonts w:cs="Arial"/>
        </w:rPr>
        <w:t>“</w:t>
      </w:r>
      <w:r w:rsidRPr="00A17CCD">
        <w:rPr>
          <w:rFonts w:cs="Arial"/>
          <w:b/>
          <w:bCs/>
        </w:rPr>
        <w:t xml:space="preserve">Performance Standard </w:t>
      </w:r>
      <w:r>
        <w:rPr>
          <w:rFonts w:cs="Arial"/>
          <w:b/>
          <w:bCs/>
        </w:rPr>
        <w:t xml:space="preserve">Evaluation </w:t>
      </w:r>
      <w:r w:rsidRPr="00A17CCD">
        <w:rPr>
          <w:rFonts w:cs="Arial"/>
          <w:b/>
          <w:bCs/>
        </w:rPr>
        <w:t>Period</w:t>
      </w:r>
      <w:r w:rsidR="00E709A9" w:rsidRPr="00E709A9">
        <w:rPr>
          <w:rFonts w:cs="Arial"/>
        </w:rPr>
        <w:t>”</w:t>
      </w:r>
      <w:r w:rsidRPr="00E709A9">
        <w:rPr>
          <w:rFonts w:cs="Arial"/>
        </w:rPr>
        <w:t xml:space="preserve"> </w:t>
      </w:r>
      <w:r>
        <w:rPr>
          <w:rFonts w:cs="Arial"/>
        </w:rPr>
        <w:t xml:space="preserve">is specified in </w:t>
      </w:r>
      <w:r w:rsidR="00BA4779">
        <w:rPr>
          <w:rFonts w:cs="Arial"/>
        </w:rPr>
        <w:t>Section 1.03</w:t>
      </w:r>
      <w:r>
        <w:rPr>
          <w:rFonts w:cs="Arial"/>
        </w:rPr>
        <w:t xml:space="preserve">. </w:t>
      </w:r>
    </w:p>
    <w:bookmarkEnd w:id="5"/>
    <w:p w14:paraId="6943E129" w14:textId="77777777" w:rsidR="00C4757C"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721"/>
        <w:rPr>
          <w:rFonts w:cs="Arial"/>
        </w:rPr>
      </w:pPr>
    </w:p>
    <w:p w14:paraId="6C21CC84" w14:textId="25B54137" w:rsidR="00C4757C"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721"/>
        <w:rPr>
          <w:rFonts w:cs="Arial"/>
        </w:rPr>
      </w:pPr>
      <w:r w:rsidRPr="00B330B8">
        <w:rPr>
          <w:rFonts w:cs="Arial"/>
        </w:rPr>
        <w:t>“</w:t>
      </w:r>
      <w:r w:rsidRPr="00B330B8">
        <w:rPr>
          <w:rFonts w:cs="Arial"/>
          <w:b/>
        </w:rPr>
        <w:t>Release Request</w:t>
      </w:r>
      <w:r w:rsidRPr="00B330B8">
        <w:rPr>
          <w:rFonts w:cs="Arial"/>
        </w:rPr>
        <w:t>” means a written request from Borrower for the release of the Rental Achievement Reserve Fund to Borrower</w:t>
      </w:r>
      <w:r w:rsidR="006D2C11">
        <w:rPr>
          <w:rFonts w:cs="Arial"/>
        </w:rPr>
        <w:t>, whether cash or Rental Achievement Letter of Credit</w:t>
      </w:r>
      <w:r w:rsidRPr="00B330B8">
        <w:rPr>
          <w:rFonts w:cs="Arial"/>
        </w:rPr>
        <w:t>.</w:t>
      </w:r>
    </w:p>
    <w:p w14:paraId="67AFCFFF" w14:textId="77777777" w:rsidR="00C4757C" w:rsidRPr="00B330B8" w:rsidRDefault="00C4757C" w:rsidP="00C4757C">
      <w:pPr>
        <w:pStyle w:val="BodyText2"/>
        <w:tabs>
          <w:tab w:val="left" w:pos="2880"/>
          <w:tab w:val="left" w:pos="3600"/>
          <w:tab w:val="left" w:pos="4320"/>
          <w:tab w:val="left" w:pos="5040"/>
          <w:tab w:val="left" w:pos="5760"/>
          <w:tab w:val="left" w:pos="6480"/>
          <w:tab w:val="left" w:pos="7200"/>
        </w:tabs>
        <w:spacing w:after="0" w:line="240" w:lineRule="auto"/>
        <w:ind w:left="721"/>
        <w:rPr>
          <w:rFonts w:cs="Arial"/>
        </w:rPr>
      </w:pPr>
    </w:p>
    <w:p w14:paraId="00B8A604" w14:textId="55B98CE3" w:rsidR="006663C5" w:rsidRPr="003A1EB6" w:rsidRDefault="006663C5" w:rsidP="006663C5">
      <w:pPr>
        <w:ind w:left="720"/>
        <w:rPr>
          <w:rFonts w:cs="Arial"/>
        </w:rPr>
      </w:pPr>
      <w:r w:rsidRPr="003A1EB6">
        <w:rPr>
          <w:rFonts w:cs="Arial"/>
        </w:rPr>
        <w:t>“</w:t>
      </w:r>
      <w:r w:rsidRPr="003A1EB6">
        <w:rPr>
          <w:rFonts w:cs="Arial"/>
          <w:b/>
        </w:rPr>
        <w:t>Rental Achievement Letter of Credit</w:t>
      </w:r>
      <w:r w:rsidRPr="003A1EB6">
        <w:rPr>
          <w:rFonts w:cs="Arial"/>
        </w:rPr>
        <w:t xml:space="preserve">” means one or more Letters of Credit in an amount </w:t>
      </w:r>
      <w:r>
        <w:rPr>
          <w:rFonts w:cs="Arial"/>
        </w:rPr>
        <w:t xml:space="preserve">specified in </w:t>
      </w:r>
      <w:r w:rsidR="006D2C11">
        <w:rPr>
          <w:rFonts w:cs="Arial"/>
        </w:rPr>
        <w:t>Section 1.03</w:t>
      </w:r>
      <w:r>
        <w:rPr>
          <w:rFonts w:cs="Arial"/>
        </w:rPr>
        <w:t xml:space="preserve"> and</w:t>
      </w:r>
      <w:r w:rsidRPr="003A1EB6">
        <w:rPr>
          <w:rFonts w:cs="Arial"/>
        </w:rPr>
        <w:t xml:space="preserve"> satisfying the provisions of Section</w:t>
      </w:r>
      <w:r w:rsidR="006D2C11">
        <w:rPr>
          <w:rFonts w:cs="Arial"/>
        </w:rPr>
        <w:t> </w:t>
      </w:r>
      <w:r w:rsidRPr="003A1EB6">
        <w:rPr>
          <w:rFonts w:cs="Arial"/>
        </w:rPr>
        <w:t>11.1</w:t>
      </w:r>
      <w:r w:rsidR="006D2C11">
        <w:rPr>
          <w:rFonts w:cs="Arial"/>
        </w:rPr>
        <w:t>6</w:t>
      </w:r>
      <w:r w:rsidRPr="003A1EB6">
        <w:rPr>
          <w:rFonts w:cs="Arial"/>
        </w:rPr>
        <w:t>.</w:t>
      </w:r>
    </w:p>
    <w:p w14:paraId="1F18426A" w14:textId="77777777" w:rsidR="006663C5" w:rsidRDefault="006663C5" w:rsidP="00C4757C">
      <w:pPr>
        <w:pStyle w:val="BodyTextIndent2"/>
        <w:spacing w:after="0" w:line="240" w:lineRule="auto"/>
        <w:ind w:left="721"/>
        <w:rPr>
          <w:rFonts w:cs="Arial"/>
        </w:rPr>
      </w:pPr>
    </w:p>
    <w:p w14:paraId="5ECB6724" w14:textId="518965EE" w:rsidR="00C4757C" w:rsidRPr="00B330B8" w:rsidRDefault="00C4757C" w:rsidP="00C4757C">
      <w:pPr>
        <w:pStyle w:val="BodyTextIndent2"/>
        <w:spacing w:after="0" w:line="240" w:lineRule="auto"/>
        <w:ind w:left="721"/>
        <w:rPr>
          <w:rFonts w:cs="Arial"/>
        </w:rPr>
      </w:pPr>
      <w:r w:rsidRPr="00B330B8">
        <w:rPr>
          <w:rFonts w:cs="Arial"/>
        </w:rPr>
        <w:t>“</w:t>
      </w:r>
      <w:r w:rsidRPr="00B330B8">
        <w:rPr>
          <w:rFonts w:cs="Arial"/>
          <w:b/>
          <w:bCs/>
        </w:rPr>
        <w:t>Rental Achievement Reserve Deposit</w:t>
      </w:r>
      <w:r w:rsidRPr="00B330B8">
        <w:rPr>
          <w:rFonts w:cs="Arial"/>
        </w:rPr>
        <w:t xml:space="preserve">” means the amount set forth in </w:t>
      </w:r>
      <w:r w:rsidR="00BA4779">
        <w:rPr>
          <w:rFonts w:cs="Arial"/>
        </w:rPr>
        <w:t>Section 1.03</w:t>
      </w:r>
      <w:r w:rsidRPr="00B330B8">
        <w:rPr>
          <w:rFonts w:cs="Arial"/>
        </w:rPr>
        <w:t>.</w:t>
      </w:r>
    </w:p>
    <w:p w14:paraId="3C40B36F" w14:textId="77777777" w:rsidR="00C4757C" w:rsidRPr="00B330B8" w:rsidRDefault="00C4757C" w:rsidP="00C4757C">
      <w:pPr>
        <w:pStyle w:val="BodyTextIndent2"/>
        <w:spacing w:after="0" w:line="240" w:lineRule="auto"/>
        <w:ind w:left="721"/>
        <w:rPr>
          <w:rFonts w:cs="Arial"/>
        </w:rPr>
      </w:pPr>
    </w:p>
    <w:p w14:paraId="56ADD719" w14:textId="63938680" w:rsidR="000A1DF9" w:rsidRPr="006D2C11" w:rsidRDefault="00C4757C" w:rsidP="006D2C11">
      <w:pPr>
        <w:ind w:left="749"/>
        <w:rPr>
          <w:rFonts w:cs="Arial"/>
        </w:rPr>
      </w:pPr>
      <w:r w:rsidRPr="006D2C11">
        <w:rPr>
          <w:rFonts w:cs="Arial"/>
        </w:rPr>
        <w:t>“</w:t>
      </w:r>
      <w:r w:rsidRPr="006D2C11">
        <w:rPr>
          <w:rFonts w:cs="Arial"/>
          <w:b/>
          <w:bCs/>
        </w:rPr>
        <w:t>Rental Achievement Reserve Fund</w:t>
      </w:r>
      <w:r w:rsidRPr="006D2C11">
        <w:rPr>
          <w:rFonts w:cs="Arial"/>
        </w:rPr>
        <w:t xml:space="preserve">” means </w:t>
      </w:r>
      <w:r w:rsidR="006663C5" w:rsidRPr="006D2C11">
        <w:rPr>
          <w:rFonts w:cs="Arial"/>
        </w:rPr>
        <w:t xml:space="preserve">either (i) </w:t>
      </w:r>
      <w:r w:rsidRPr="006D2C11">
        <w:rPr>
          <w:rFonts w:cs="Arial"/>
        </w:rPr>
        <w:t xml:space="preserve">the account established pursuant to this </w:t>
      </w:r>
      <w:r w:rsidR="00EA4B48">
        <w:rPr>
          <w:rFonts w:cs="Arial"/>
        </w:rPr>
        <w:t>Continuing Covenant Agreement</w:t>
      </w:r>
      <w:r w:rsidRPr="006D2C11">
        <w:rPr>
          <w:rFonts w:cs="Arial"/>
        </w:rPr>
        <w:t xml:space="preserve"> into which the Rental Achievement Reserve Deposit will be deposited</w:t>
      </w:r>
      <w:r w:rsidR="006663C5" w:rsidRPr="006D2C11">
        <w:rPr>
          <w:rFonts w:cs="Arial"/>
        </w:rPr>
        <w:t xml:space="preserve"> or (ii) the Rental Achievement Letter of Credit and any Reserve Fund created by </w:t>
      </w:r>
      <w:r w:rsidR="00075D47">
        <w:rPr>
          <w:rFonts w:cs="Arial"/>
        </w:rPr>
        <w:t>Funding Lender</w:t>
      </w:r>
      <w:r w:rsidR="006663C5" w:rsidRPr="006D2C11">
        <w:rPr>
          <w:rFonts w:cs="Arial"/>
        </w:rPr>
        <w:t xml:space="preserve"> into which proceeds of the Rental Achievement Letter of Credit may be deposited pursuant to Section 4.06(b)</w:t>
      </w:r>
      <w:r w:rsidRPr="006D2C11">
        <w:rPr>
          <w:rFonts w:cs="Arial"/>
        </w:rPr>
        <w:t>.</w:t>
      </w:r>
    </w:p>
    <w:sectPr w:rsidR="000A1DF9" w:rsidRPr="006D2C11"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EF02" w14:textId="77777777" w:rsidR="00410B9C" w:rsidRDefault="00410B9C" w:rsidP="00B604F3">
      <w:r>
        <w:separator/>
      </w:r>
    </w:p>
  </w:endnote>
  <w:endnote w:type="continuationSeparator" w:id="0">
    <w:p w14:paraId="38D325AC" w14:textId="77777777" w:rsidR="00410B9C" w:rsidRDefault="00410B9C"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27D0D812" w:rsidR="007143D8" w:rsidRPr="00A31838" w:rsidRDefault="007143D8" w:rsidP="007143D8">
    <w:pPr>
      <w:pStyle w:val="Footer"/>
      <w:tabs>
        <w:tab w:val="left" w:pos="473"/>
        <w:tab w:val="right" w:pos="10080"/>
      </w:tabs>
    </w:pPr>
    <w:r w:rsidRPr="00A31838">
      <w:t xml:space="preserve">Rider to </w:t>
    </w:r>
    <w:r w:rsidR="00EA4B48">
      <w:t>Continuing Covenant Agreement</w:t>
    </w:r>
    <w:r w:rsidRPr="00A31838">
      <w:t xml:space="preserve"> </w:t>
    </w:r>
    <w:r w:rsidR="00EE6050">
      <w:t>–</w:t>
    </w:r>
    <w:r w:rsidR="00EA4B48">
      <w:t xml:space="preserve"> TEL</w:t>
    </w:r>
    <w:r w:rsidR="00EE6050">
      <w:t xml:space="preserve"> </w:t>
    </w:r>
  </w:p>
  <w:p w14:paraId="036F8DAB" w14:textId="013D8F9D" w:rsidR="00E73FB7" w:rsidRDefault="00B330B8" w:rsidP="000A1DF9">
    <w:pPr>
      <w:pStyle w:val="Footer"/>
      <w:tabs>
        <w:tab w:val="right" w:pos="10080"/>
      </w:tabs>
    </w:pPr>
    <w:r w:rsidRPr="00B330B8">
      <w:t>Rental Achievement</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2FC981A5" w:rsidR="006903FD" w:rsidRPr="00A31838" w:rsidRDefault="006903FD" w:rsidP="006903FD">
    <w:pPr>
      <w:pStyle w:val="Footer"/>
      <w:tabs>
        <w:tab w:val="left" w:pos="473"/>
        <w:tab w:val="right" w:pos="100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C3E5" w14:textId="77777777" w:rsidR="00410B9C" w:rsidRDefault="00410B9C" w:rsidP="00B604F3">
      <w:r>
        <w:separator/>
      </w:r>
    </w:p>
  </w:footnote>
  <w:footnote w:type="continuationSeparator" w:id="0">
    <w:p w14:paraId="3914A17F" w14:textId="77777777" w:rsidR="00410B9C" w:rsidRDefault="00410B9C"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123"/>
    <w:multiLevelType w:val="hybridMultilevel"/>
    <w:tmpl w:val="2C1EF4DA"/>
    <w:lvl w:ilvl="0" w:tplc="07B4E3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274C1C"/>
    <w:multiLevelType w:val="hybridMultilevel"/>
    <w:tmpl w:val="9BFCB534"/>
    <w:lvl w:ilvl="0" w:tplc="33AA6E52">
      <w:start w:val="1"/>
      <w:numFmt w:val="decimal"/>
      <w:lvlText w:val="(%1)"/>
      <w:lvlJc w:val="left"/>
      <w:pPr>
        <w:ind w:left="2790" w:hanging="63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704789">
    <w:abstractNumId w:val="2"/>
  </w:num>
  <w:num w:numId="2" w16cid:durableId="2063862275">
    <w:abstractNumId w:val="0"/>
  </w:num>
  <w:num w:numId="3" w16cid:durableId="205496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23E9A"/>
    <w:rsid w:val="00032890"/>
    <w:rsid w:val="000338E6"/>
    <w:rsid w:val="000708BD"/>
    <w:rsid w:val="00075D47"/>
    <w:rsid w:val="000874AD"/>
    <w:rsid w:val="000A1DF9"/>
    <w:rsid w:val="000A602C"/>
    <w:rsid w:val="001254BB"/>
    <w:rsid w:val="0012724B"/>
    <w:rsid w:val="00141629"/>
    <w:rsid w:val="00147E71"/>
    <w:rsid w:val="001527A8"/>
    <w:rsid w:val="001C4383"/>
    <w:rsid w:val="001F4804"/>
    <w:rsid w:val="002173D0"/>
    <w:rsid w:val="002571CC"/>
    <w:rsid w:val="0027050C"/>
    <w:rsid w:val="00275E25"/>
    <w:rsid w:val="0028339E"/>
    <w:rsid w:val="00286396"/>
    <w:rsid w:val="002C21E5"/>
    <w:rsid w:val="002D0519"/>
    <w:rsid w:val="0031553B"/>
    <w:rsid w:val="00322538"/>
    <w:rsid w:val="00340C98"/>
    <w:rsid w:val="00395142"/>
    <w:rsid w:val="003B29F0"/>
    <w:rsid w:val="003D422B"/>
    <w:rsid w:val="003F53B5"/>
    <w:rsid w:val="00401186"/>
    <w:rsid w:val="00410B9C"/>
    <w:rsid w:val="00420400"/>
    <w:rsid w:val="004422D3"/>
    <w:rsid w:val="00454DB4"/>
    <w:rsid w:val="0047792F"/>
    <w:rsid w:val="00477ACE"/>
    <w:rsid w:val="004A3ED1"/>
    <w:rsid w:val="004F5AEF"/>
    <w:rsid w:val="00553A7E"/>
    <w:rsid w:val="00560E9F"/>
    <w:rsid w:val="00566C96"/>
    <w:rsid w:val="0059074F"/>
    <w:rsid w:val="005A0594"/>
    <w:rsid w:val="005F7525"/>
    <w:rsid w:val="006663C5"/>
    <w:rsid w:val="006903FD"/>
    <w:rsid w:val="006A1F77"/>
    <w:rsid w:val="006D2C11"/>
    <w:rsid w:val="006F0020"/>
    <w:rsid w:val="00703DBB"/>
    <w:rsid w:val="007143D8"/>
    <w:rsid w:val="007D7628"/>
    <w:rsid w:val="007F0BD4"/>
    <w:rsid w:val="007F66A0"/>
    <w:rsid w:val="00805B6C"/>
    <w:rsid w:val="00850170"/>
    <w:rsid w:val="00854F1E"/>
    <w:rsid w:val="008D563E"/>
    <w:rsid w:val="00921B6C"/>
    <w:rsid w:val="00931FB5"/>
    <w:rsid w:val="009B2033"/>
    <w:rsid w:val="009B3079"/>
    <w:rsid w:val="009D3F93"/>
    <w:rsid w:val="009E2578"/>
    <w:rsid w:val="00A014BC"/>
    <w:rsid w:val="00A31838"/>
    <w:rsid w:val="00A51C85"/>
    <w:rsid w:val="00A76B15"/>
    <w:rsid w:val="00A809EB"/>
    <w:rsid w:val="00AA6FE7"/>
    <w:rsid w:val="00AB6FCC"/>
    <w:rsid w:val="00AE0D55"/>
    <w:rsid w:val="00B11171"/>
    <w:rsid w:val="00B13454"/>
    <w:rsid w:val="00B330B8"/>
    <w:rsid w:val="00B37EE5"/>
    <w:rsid w:val="00B604F3"/>
    <w:rsid w:val="00B61C60"/>
    <w:rsid w:val="00B81EDF"/>
    <w:rsid w:val="00B91145"/>
    <w:rsid w:val="00BA4779"/>
    <w:rsid w:val="00BE7615"/>
    <w:rsid w:val="00C008B4"/>
    <w:rsid w:val="00C4757C"/>
    <w:rsid w:val="00CA07D4"/>
    <w:rsid w:val="00CA22B1"/>
    <w:rsid w:val="00CD37F5"/>
    <w:rsid w:val="00D92550"/>
    <w:rsid w:val="00DA0784"/>
    <w:rsid w:val="00DD7BA1"/>
    <w:rsid w:val="00DE3316"/>
    <w:rsid w:val="00DF0E71"/>
    <w:rsid w:val="00E07E6D"/>
    <w:rsid w:val="00E24DB2"/>
    <w:rsid w:val="00E306FD"/>
    <w:rsid w:val="00E40B02"/>
    <w:rsid w:val="00E56D8E"/>
    <w:rsid w:val="00E709A9"/>
    <w:rsid w:val="00E73FB7"/>
    <w:rsid w:val="00EA4B48"/>
    <w:rsid w:val="00EB19FB"/>
    <w:rsid w:val="00EB6297"/>
    <w:rsid w:val="00EC7018"/>
    <w:rsid w:val="00EE6050"/>
    <w:rsid w:val="00EF2A33"/>
    <w:rsid w:val="00F51B64"/>
    <w:rsid w:val="00F607BB"/>
    <w:rsid w:val="00FD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0338E6"/>
    <w:pPr>
      <w:spacing w:after="120" w:line="480" w:lineRule="auto"/>
    </w:pPr>
  </w:style>
  <w:style w:type="character" w:customStyle="1" w:styleId="BodyText2Char">
    <w:name w:val="Body Text 2 Char"/>
    <w:basedOn w:val="DefaultParagraphFont"/>
    <w:link w:val="BodyText2"/>
    <w:uiPriority w:val="99"/>
    <w:semiHidden/>
    <w:rsid w:val="000338E6"/>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0338E6"/>
    <w:pPr>
      <w:spacing w:after="120" w:line="480" w:lineRule="auto"/>
      <w:ind w:left="360"/>
    </w:pPr>
  </w:style>
  <w:style w:type="character" w:customStyle="1" w:styleId="BodyTextIndent2Char">
    <w:name w:val="Body Text Indent 2 Char"/>
    <w:basedOn w:val="DefaultParagraphFont"/>
    <w:link w:val="BodyTextIndent2"/>
    <w:uiPriority w:val="99"/>
    <w:semiHidden/>
    <w:rsid w:val="000338E6"/>
    <w:rPr>
      <w:rFonts w:eastAsia="Times New Roman" w:cs="Times New Roman"/>
      <w:color w:val="auto"/>
      <w:szCs w:val="20"/>
    </w:rPr>
  </w:style>
  <w:style w:type="paragraph" w:customStyle="1" w:styleId="NormalHangingIndent1">
    <w:name w:val="Normal (Hanging Indent 1)"/>
    <w:basedOn w:val="Normal"/>
    <w:next w:val="Normal"/>
    <w:rsid w:val="000338E6"/>
    <w:pPr>
      <w:spacing w:after="240"/>
      <w:ind w:left="720" w:hanging="720"/>
      <w:jc w:val="both"/>
    </w:pPr>
    <w:rPr>
      <w:rFonts w:ascii="Times New Roman" w:hAnsi="Times New Roman"/>
      <w:sz w:val="24"/>
      <w:szCs w:val="24"/>
    </w:rPr>
  </w:style>
  <w:style w:type="paragraph" w:customStyle="1" w:styleId="NormalHangingIndent2">
    <w:name w:val="Normal (Hanging Indent 2)"/>
    <w:basedOn w:val="Normal"/>
    <w:next w:val="Normal"/>
    <w:rsid w:val="000338E6"/>
    <w:pPr>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0338E6"/>
    <w:pPr>
      <w:spacing w:after="240"/>
      <w:ind w:left="2160" w:hanging="720"/>
      <w:jc w:val="both"/>
    </w:pPr>
    <w:rPr>
      <w:rFonts w:ascii="Times New Roman" w:hAnsi="Times New Roman"/>
      <w:sz w:val="24"/>
      <w:szCs w:val="24"/>
    </w:rPr>
  </w:style>
  <w:style w:type="paragraph" w:customStyle="1" w:styleId="CoverPageLoanNumberandName">
    <w:name w:val="Cover Page (Loan Number and Name)"/>
    <w:basedOn w:val="Normal"/>
    <w:rsid w:val="000338E6"/>
    <w:pPr>
      <w:spacing w:after="240"/>
      <w:jc w:val="both"/>
    </w:pPr>
    <w:rPr>
      <w:rFonts w:ascii="Times New Roman" w:hAnsi="Times New Roman"/>
      <w:sz w:val="24"/>
      <w:szCs w:val="24"/>
    </w:rPr>
  </w:style>
  <w:style w:type="paragraph" w:styleId="NormalWeb">
    <w:name w:val="Normal (Web)"/>
    <w:basedOn w:val="Normal"/>
    <w:uiPriority w:val="99"/>
    <w:unhideWhenUsed/>
    <w:rsid w:val="000338E6"/>
    <w:pPr>
      <w:spacing w:before="100" w:beforeAutospacing="1" w:after="100" w:afterAutospacing="1"/>
    </w:pPr>
    <w:rPr>
      <w:rFonts w:ascii="Times New Roman" w:hAnsi="Times New Roman"/>
      <w:sz w:val="24"/>
      <w:szCs w:val="24"/>
    </w:rPr>
  </w:style>
  <w:style w:type="paragraph" w:customStyle="1" w:styleId="ExDStdProvsNormal">
    <w:name w:val="ExDStdProvsNormal"/>
    <w:rsid w:val="00C4757C"/>
    <w:pPr>
      <w:spacing w:after="0" w:line="240" w:lineRule="auto"/>
    </w:pPr>
    <w:rPr>
      <w:rFonts w:ascii="Times New Roman" w:eastAsia="Times New Roman" w:hAnsi="Times New Roman" w:cs="Times New Roman"/>
      <w:color w:val="auto"/>
      <w:sz w:val="24"/>
      <w:szCs w:val="24"/>
    </w:rPr>
  </w:style>
  <w:style w:type="paragraph" w:customStyle="1" w:styleId="NormalHangingIndent4">
    <w:name w:val="Normal (Hanging Indent 4)"/>
    <w:basedOn w:val="Normal"/>
    <w:next w:val="Normal"/>
    <w:rsid w:val="006663C5"/>
    <w:pPr>
      <w:spacing w:after="240"/>
      <w:ind w:left="2880" w:hanging="720"/>
      <w:jc w:val="both"/>
    </w:pPr>
    <w:rPr>
      <w:rFonts w:ascii="Times New Roman" w:hAnsi="Times New Roman"/>
      <w:sz w:val="24"/>
      <w:szCs w:val="24"/>
    </w:rPr>
  </w:style>
  <w:style w:type="paragraph" w:styleId="Revision">
    <w:name w:val="Revision"/>
    <w:hidden/>
    <w:uiPriority w:val="99"/>
    <w:semiHidden/>
    <w:rsid w:val="003B29F0"/>
    <w:pPr>
      <w:spacing w:after="0" w:line="240" w:lineRule="auto"/>
    </w:pPr>
    <w:rPr>
      <w:rFonts w:eastAsia="Times New Roman" w:cs="Times New Roman"/>
      <w:color w:val="auto"/>
      <w:szCs w:val="20"/>
    </w:rPr>
  </w:style>
  <w:style w:type="character" w:styleId="CommentReference">
    <w:name w:val="annotation reference"/>
    <w:basedOn w:val="DefaultParagraphFont"/>
    <w:uiPriority w:val="99"/>
    <w:semiHidden/>
    <w:unhideWhenUsed/>
    <w:rsid w:val="00B13454"/>
    <w:rPr>
      <w:sz w:val="16"/>
      <w:szCs w:val="16"/>
    </w:rPr>
  </w:style>
  <w:style w:type="paragraph" w:styleId="CommentText">
    <w:name w:val="annotation text"/>
    <w:basedOn w:val="Normal"/>
    <w:link w:val="CommentTextChar"/>
    <w:uiPriority w:val="99"/>
    <w:unhideWhenUsed/>
    <w:rsid w:val="00B13454"/>
  </w:style>
  <w:style w:type="character" w:customStyle="1" w:styleId="CommentTextChar">
    <w:name w:val="Comment Text Char"/>
    <w:basedOn w:val="DefaultParagraphFont"/>
    <w:link w:val="CommentText"/>
    <w:uiPriority w:val="99"/>
    <w:rsid w:val="00B13454"/>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B13454"/>
    <w:rPr>
      <w:b/>
      <w:bCs/>
    </w:rPr>
  </w:style>
  <w:style w:type="character" w:customStyle="1" w:styleId="CommentSubjectChar">
    <w:name w:val="Comment Subject Char"/>
    <w:basedOn w:val="CommentTextChar"/>
    <w:link w:val="CommentSubject"/>
    <w:uiPriority w:val="99"/>
    <w:semiHidden/>
    <w:rsid w:val="00B13454"/>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2023-05-10T18:25:00Z</dcterms:created>
  <dcterms:modified xsi:type="dcterms:W3CDTF">2023-06-08T18:48:00Z</dcterms:modified>
</cp:coreProperties>
</file>