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D07C" w14:textId="3DCF237F" w:rsidR="00E0589F" w:rsidRDefault="00E0589F" w:rsidP="00E0589F">
      <w:pPr>
        <w:jc w:val="center"/>
        <w:rPr>
          <w:rFonts w:cs="Arial"/>
          <w:b/>
          <w:sz w:val="24"/>
          <w:szCs w:val="24"/>
        </w:rPr>
      </w:pPr>
      <w:r>
        <w:rPr>
          <w:rFonts w:cs="Arial"/>
          <w:b/>
          <w:sz w:val="24"/>
          <w:szCs w:val="24"/>
        </w:rPr>
        <w:t>Rider to Continuing Covenant Agreement</w:t>
      </w:r>
      <w:r w:rsidR="00D87CC8">
        <w:rPr>
          <w:rFonts w:cs="Arial"/>
          <w:b/>
          <w:sz w:val="24"/>
          <w:szCs w:val="24"/>
        </w:rPr>
        <w:t xml:space="preserve"> – TEL </w:t>
      </w:r>
    </w:p>
    <w:p w14:paraId="55E4793C" w14:textId="4252216C" w:rsidR="00C735BC" w:rsidRPr="005C6BEA" w:rsidRDefault="00F10904" w:rsidP="005C6BEA">
      <w:pPr>
        <w:shd w:val="clear" w:color="auto" w:fill="FFFFFF"/>
        <w:tabs>
          <w:tab w:val="left" w:pos="360"/>
          <w:tab w:val="left" w:pos="720"/>
          <w:tab w:val="left" w:pos="1080"/>
          <w:tab w:val="left" w:pos="1440"/>
        </w:tabs>
        <w:jc w:val="center"/>
        <w:rPr>
          <w:rFonts w:cs="Arial"/>
          <w:b/>
          <w:sz w:val="24"/>
          <w:szCs w:val="24"/>
        </w:rPr>
      </w:pPr>
      <w:r>
        <w:rPr>
          <w:rFonts w:cs="Arial"/>
          <w:b/>
          <w:sz w:val="24"/>
          <w:szCs w:val="24"/>
        </w:rPr>
        <w:t xml:space="preserve">Mortgaged </w:t>
      </w:r>
      <w:r w:rsidR="00C735BC" w:rsidRPr="005C6BEA">
        <w:rPr>
          <w:rFonts w:cs="Arial"/>
          <w:b/>
          <w:sz w:val="24"/>
          <w:szCs w:val="24"/>
        </w:rPr>
        <w:t>Property Not Separate Tax Parcel</w:t>
      </w:r>
    </w:p>
    <w:p w14:paraId="1EC0DD57" w14:textId="1E486313" w:rsidR="00E0589F" w:rsidRDefault="00E0589F" w:rsidP="00E0589F">
      <w:pPr>
        <w:shd w:val="clear" w:color="auto" w:fill="FFFFFF"/>
        <w:tabs>
          <w:tab w:val="left" w:pos="360"/>
          <w:tab w:val="left" w:pos="720"/>
          <w:tab w:val="left" w:pos="1080"/>
          <w:tab w:val="left" w:pos="1440"/>
        </w:tabs>
        <w:jc w:val="center"/>
        <w:rPr>
          <w:rFonts w:cs="Arial"/>
          <w:bCs/>
        </w:rPr>
      </w:pPr>
      <w:r>
        <w:rPr>
          <w:rFonts w:cs="Arial"/>
          <w:bCs/>
        </w:rPr>
        <w:t xml:space="preserve">(Revised </w:t>
      </w:r>
      <w:r w:rsidR="00845608">
        <w:rPr>
          <w:rFonts w:cs="Arial"/>
          <w:bCs/>
        </w:rPr>
        <w:t>6-27</w:t>
      </w:r>
      <w:r>
        <w:rPr>
          <w:rFonts w:cs="Arial"/>
          <w:bCs/>
        </w:rPr>
        <w:t>-2023)</w:t>
      </w:r>
    </w:p>
    <w:p w14:paraId="006C85D2" w14:textId="4BF741D7" w:rsidR="00C735BC" w:rsidRDefault="00C735BC" w:rsidP="00C735BC">
      <w:pPr>
        <w:shd w:val="clear" w:color="auto" w:fill="FFFFFF"/>
        <w:tabs>
          <w:tab w:val="left" w:pos="360"/>
          <w:tab w:val="left" w:pos="720"/>
          <w:tab w:val="left" w:pos="1080"/>
          <w:tab w:val="left" w:pos="1440"/>
        </w:tabs>
        <w:rPr>
          <w:rFonts w:cs="Arial"/>
          <w:b/>
        </w:rPr>
      </w:pPr>
    </w:p>
    <w:p w14:paraId="67A5BA08" w14:textId="77777777" w:rsidR="00954E0F" w:rsidRPr="00C735BC" w:rsidRDefault="00954E0F" w:rsidP="00C735BC">
      <w:pPr>
        <w:shd w:val="clear" w:color="auto" w:fill="FFFFFF"/>
        <w:tabs>
          <w:tab w:val="left" w:pos="360"/>
          <w:tab w:val="left" w:pos="720"/>
          <w:tab w:val="left" w:pos="1080"/>
          <w:tab w:val="left" w:pos="1440"/>
        </w:tabs>
        <w:rPr>
          <w:rFonts w:cs="Arial"/>
          <w:b/>
        </w:rPr>
      </w:pPr>
    </w:p>
    <w:p w14:paraId="1CE18A8D" w14:textId="77777777" w:rsidR="00E0589F" w:rsidRDefault="00E0589F" w:rsidP="00E0589F">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bookmarkStart w:id="0" w:name="_Hlk84246294"/>
      <w:r>
        <w:rPr>
          <w:rFonts w:cs="Arial"/>
        </w:rPr>
        <w:t>The following changes are made to the Continuing Covenant Agreement that precedes this Rider:</w:t>
      </w:r>
    </w:p>
    <w:p w14:paraId="613867E9" w14:textId="77777777" w:rsidR="00954E0F" w:rsidRDefault="00954E0F" w:rsidP="00473F1D">
      <w:pPr>
        <w:shd w:val="clear" w:color="auto" w:fill="FFFFFF"/>
        <w:tabs>
          <w:tab w:val="left" w:pos="720"/>
          <w:tab w:val="left" w:pos="1080"/>
          <w:tab w:val="left" w:pos="1440"/>
        </w:tabs>
        <w:rPr>
          <w:rFonts w:cs="Arial"/>
        </w:rPr>
      </w:pPr>
    </w:p>
    <w:p w14:paraId="256F7963" w14:textId="6E724D40" w:rsidR="00473F1D" w:rsidRDefault="00A54915" w:rsidP="00473F1D">
      <w:pPr>
        <w:shd w:val="clear" w:color="auto" w:fill="FFFFFF"/>
        <w:tabs>
          <w:tab w:val="left" w:pos="720"/>
          <w:tab w:val="left" w:pos="1080"/>
          <w:tab w:val="left" w:pos="1440"/>
        </w:tabs>
        <w:rPr>
          <w:rFonts w:cs="Arial"/>
        </w:rPr>
      </w:pPr>
      <w:r>
        <w:rPr>
          <w:rFonts w:cs="Arial"/>
        </w:rPr>
        <w:t>A.</w:t>
      </w:r>
      <w:r>
        <w:rPr>
          <w:rFonts w:cs="Arial"/>
        </w:rPr>
        <w:tab/>
      </w:r>
      <w:r w:rsidR="00473F1D" w:rsidRPr="00114474">
        <w:rPr>
          <w:rFonts w:cs="Arial"/>
        </w:rPr>
        <w:t xml:space="preserve">The following table is added to </w:t>
      </w:r>
      <w:r w:rsidR="00954E0F">
        <w:rPr>
          <w:rFonts w:cs="Arial"/>
        </w:rPr>
        <w:t>Section 1.04</w:t>
      </w:r>
      <w:r w:rsidR="00473F1D" w:rsidRPr="00114474">
        <w:rPr>
          <w:rFonts w:cs="Arial"/>
        </w:rPr>
        <w:t>:</w:t>
      </w:r>
    </w:p>
    <w:p w14:paraId="5E95830D" w14:textId="77777777" w:rsidR="00473F1D" w:rsidRPr="00114474" w:rsidRDefault="00473F1D" w:rsidP="00473F1D">
      <w:pPr>
        <w:shd w:val="clear" w:color="auto" w:fill="FFFFFF"/>
        <w:tabs>
          <w:tab w:val="left" w:pos="720"/>
          <w:tab w:val="left" w:pos="1080"/>
          <w:tab w:val="left" w:pos="1440"/>
        </w:tab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473F1D" w14:paraId="075D0C88" w14:textId="77777777" w:rsidTr="00BA405E">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4090A029" w14:textId="32225135" w:rsidR="00473F1D" w:rsidRDefault="00A54915" w:rsidP="00BA405E">
            <w:pPr>
              <w:spacing w:before="20" w:after="20"/>
              <w:rPr>
                <w:rFonts w:cs="Arial"/>
                <w:b/>
              </w:rPr>
            </w:pPr>
            <w:r>
              <w:rPr>
                <w:rFonts w:cs="Arial"/>
                <w:b/>
              </w:rPr>
              <w:t>Property Not Separate Tax Parcel</w:t>
            </w:r>
          </w:p>
        </w:tc>
      </w:tr>
      <w:tr w:rsidR="00A54915" w:rsidRPr="00DB53AC" w14:paraId="1ED692AD" w14:textId="77777777" w:rsidTr="00A54915">
        <w:tblPrEx>
          <w:tblLook w:val="0000" w:firstRow="0" w:lastRow="0" w:firstColumn="0" w:lastColumn="0" w:noHBand="0" w:noVBand="0"/>
        </w:tblPrEx>
        <w:trPr>
          <w:trHeight w:val="620"/>
        </w:trPr>
        <w:tc>
          <w:tcPr>
            <w:tcW w:w="10265" w:type="dxa"/>
            <w:gridSpan w:val="2"/>
            <w:tcBorders>
              <w:top w:val="nil"/>
              <w:bottom w:val="nil"/>
            </w:tcBorders>
            <w:shd w:val="clear" w:color="auto" w:fill="auto"/>
          </w:tcPr>
          <w:p w14:paraId="74BD579A" w14:textId="62CE6FCF" w:rsidR="00A54915" w:rsidRPr="00A54915" w:rsidRDefault="00A54915" w:rsidP="00A54915">
            <w:pPr>
              <w:pStyle w:val="CoverPageLoanNumberandName"/>
              <w:spacing w:before="80" w:after="0"/>
              <w:jc w:val="left"/>
              <w:rPr>
                <w:rFonts w:ascii="Arial" w:hAnsi="Arial" w:cs="Arial"/>
                <w:bCs/>
                <w:sz w:val="20"/>
                <w:szCs w:val="20"/>
              </w:rPr>
            </w:pPr>
            <w:r>
              <w:rPr>
                <w:rFonts w:ascii="Arial" w:hAnsi="Arial" w:cs="Arial"/>
                <w:bCs/>
                <w:sz w:val="20"/>
                <w:szCs w:val="20"/>
              </w:rPr>
              <w:t>“</w:t>
            </w:r>
            <w:r w:rsidRPr="00A54915">
              <w:rPr>
                <w:rFonts w:ascii="Arial" w:hAnsi="Arial" w:cs="Arial"/>
                <w:b/>
                <w:sz w:val="20"/>
                <w:szCs w:val="20"/>
              </w:rPr>
              <w:t>Adjacent Parcel</w:t>
            </w:r>
            <w:r>
              <w:rPr>
                <w:rFonts w:ascii="Arial" w:hAnsi="Arial" w:cs="Arial"/>
                <w:bCs/>
                <w:sz w:val="20"/>
                <w:szCs w:val="20"/>
              </w:rPr>
              <w:t xml:space="preserve">” means the property adjacent to the Mortgaged Property commonly referred to as ____________________ and covering approximately ___ acres of land that: </w:t>
            </w:r>
            <w:r w:rsidRPr="00A54915">
              <w:rPr>
                <w:rFonts w:ascii="Arial" w:hAnsi="Arial" w:cs="Arial"/>
                <w:bCs/>
                <w:i/>
                <w:iCs/>
                <w:sz w:val="16"/>
                <w:szCs w:val="16"/>
              </w:rPr>
              <w:t>(choose one)</w:t>
            </w:r>
          </w:p>
        </w:tc>
      </w:tr>
      <w:tr w:rsidR="00A54915" w:rsidRPr="00231380" w:rsidDel="00F46CF2" w14:paraId="625E36B4" w14:textId="77777777" w:rsidTr="00A54915">
        <w:tblPrEx>
          <w:tblLook w:val="0000" w:firstRow="0" w:lastRow="0" w:firstColumn="0" w:lastColumn="0" w:noHBand="0" w:noVBand="0"/>
        </w:tblPrEx>
        <w:trPr>
          <w:trHeight w:val="269"/>
        </w:trPr>
        <w:tc>
          <w:tcPr>
            <w:tcW w:w="630" w:type="dxa"/>
            <w:tcBorders>
              <w:top w:val="single" w:sz="4" w:space="0" w:color="auto"/>
              <w:bottom w:val="single" w:sz="4" w:space="0" w:color="auto"/>
            </w:tcBorders>
            <w:shd w:val="clear" w:color="auto" w:fill="auto"/>
          </w:tcPr>
          <w:p w14:paraId="468AD121" w14:textId="3BED7078" w:rsidR="00A54915" w:rsidRPr="008C078F" w:rsidDel="00F46CF2" w:rsidRDefault="00934F0C" w:rsidP="00BA405E">
            <w:pPr>
              <w:pStyle w:val="CoverPageLoanNumberandName"/>
              <w:spacing w:after="0"/>
              <w:jc w:val="left"/>
              <w:rPr>
                <w:rFonts w:ascii="Arial" w:eastAsia="MS Gothic" w:hAnsi="Arial" w:cs="Arial"/>
                <w:bCs/>
                <w:sz w:val="20"/>
                <w:szCs w:val="20"/>
              </w:rPr>
            </w:pPr>
            <w:sdt>
              <w:sdtPr>
                <w:rPr>
                  <w:rFonts w:ascii="MS Gothic" w:eastAsia="MS Gothic" w:hAnsi="MS Gothic" w:cs="Arial" w:hint="eastAsia"/>
                  <w:bCs/>
                  <w:sz w:val="28"/>
                  <w:szCs w:val="28"/>
                </w:rPr>
                <w:id w:val="-484622630"/>
                <w14:checkbox>
                  <w14:checked w14:val="0"/>
                  <w14:checkedState w14:val="2612" w14:font="MS Gothic"/>
                  <w14:uncheckedState w14:val="2610" w14:font="MS Gothic"/>
                </w14:checkbox>
              </w:sdtPr>
              <w:sdtEndPr/>
              <w:sdtContent>
                <w:r w:rsidR="008C078F">
                  <w:rPr>
                    <w:rFonts w:ascii="MS Gothic" w:eastAsia="MS Gothic" w:hAnsi="MS Gothic" w:cs="Arial" w:hint="eastAsia"/>
                    <w:bCs/>
                    <w:sz w:val="28"/>
                    <w:szCs w:val="28"/>
                  </w:rPr>
                  <w:t>☐</w:t>
                </w:r>
              </w:sdtContent>
            </w:sdt>
          </w:p>
        </w:tc>
        <w:tc>
          <w:tcPr>
            <w:tcW w:w="9635" w:type="dxa"/>
            <w:vAlign w:val="center"/>
          </w:tcPr>
          <w:p w14:paraId="5685B42E" w14:textId="2DAB60A2" w:rsidR="00A54915" w:rsidRPr="00231380" w:rsidDel="00F46CF2" w:rsidRDefault="00A54915" w:rsidP="00BA405E">
            <w:pPr>
              <w:pStyle w:val="CoverPageLoanNumberandName"/>
              <w:spacing w:after="0"/>
              <w:jc w:val="left"/>
              <w:rPr>
                <w:rFonts w:ascii="Arial" w:eastAsia="MS Gothic" w:hAnsi="Arial" w:cs="Arial"/>
                <w:bCs/>
                <w:sz w:val="20"/>
                <w:szCs w:val="20"/>
              </w:rPr>
            </w:pPr>
            <w:r>
              <w:rPr>
                <w:rFonts w:ascii="Arial" w:eastAsia="MS Gothic" w:hAnsi="Arial" w:cs="Arial"/>
                <w:bCs/>
                <w:sz w:val="20"/>
                <w:szCs w:val="20"/>
              </w:rPr>
              <w:t>Contains an apartment complex and its corresponding land and improvements.</w:t>
            </w:r>
          </w:p>
        </w:tc>
      </w:tr>
      <w:tr w:rsidR="00A54915" w14:paraId="16378D26" w14:textId="77777777" w:rsidTr="00A54915">
        <w:tblPrEx>
          <w:tblLook w:val="0000" w:firstRow="0" w:lastRow="0" w:firstColumn="0" w:lastColumn="0" w:noHBand="0" w:noVBand="0"/>
        </w:tblPrEx>
        <w:trPr>
          <w:trHeight w:val="269"/>
        </w:trPr>
        <w:tc>
          <w:tcPr>
            <w:tcW w:w="630" w:type="dxa"/>
            <w:tcBorders>
              <w:top w:val="single" w:sz="4" w:space="0" w:color="auto"/>
              <w:bottom w:val="single" w:sz="4" w:space="0" w:color="auto"/>
            </w:tcBorders>
            <w:shd w:val="clear" w:color="auto" w:fill="auto"/>
          </w:tcPr>
          <w:p w14:paraId="79700B2B" w14:textId="77777777" w:rsidR="00A54915" w:rsidRPr="008C078F" w:rsidRDefault="00934F0C" w:rsidP="00BA405E">
            <w:pPr>
              <w:pStyle w:val="CoverPageLoanNumberandName"/>
              <w:spacing w:after="0"/>
              <w:jc w:val="left"/>
              <w:rPr>
                <w:rFonts w:ascii="MS Gothic" w:eastAsia="MS Gothic" w:hAnsi="MS Gothic" w:cs="Arial"/>
                <w:bCs/>
                <w:sz w:val="28"/>
                <w:szCs w:val="28"/>
              </w:rPr>
            </w:pPr>
            <w:sdt>
              <w:sdtPr>
                <w:rPr>
                  <w:rFonts w:ascii="MS Gothic" w:eastAsia="MS Gothic" w:hAnsi="MS Gothic" w:cs="Arial" w:hint="eastAsia"/>
                  <w:bCs/>
                  <w:sz w:val="28"/>
                  <w:szCs w:val="28"/>
                </w:rPr>
                <w:id w:val="-2063477946"/>
                <w14:checkbox>
                  <w14:checked w14:val="0"/>
                  <w14:checkedState w14:val="2612" w14:font="MS Gothic"/>
                  <w14:uncheckedState w14:val="2610" w14:font="MS Gothic"/>
                </w14:checkbox>
              </w:sdtPr>
              <w:sdtEndPr/>
              <w:sdtContent>
                <w:r w:rsidR="00A54915" w:rsidRPr="008C078F">
                  <w:rPr>
                    <w:rFonts w:ascii="MS Gothic" w:eastAsia="MS Gothic" w:hAnsi="MS Gothic" w:cs="Arial" w:hint="eastAsia"/>
                    <w:bCs/>
                    <w:sz w:val="28"/>
                    <w:szCs w:val="28"/>
                  </w:rPr>
                  <w:t>☐</w:t>
                </w:r>
              </w:sdtContent>
            </w:sdt>
          </w:p>
        </w:tc>
        <w:tc>
          <w:tcPr>
            <w:tcW w:w="9635" w:type="dxa"/>
            <w:vAlign w:val="center"/>
          </w:tcPr>
          <w:p w14:paraId="5A6956E6" w14:textId="3B3209D1" w:rsidR="00A54915" w:rsidRDefault="00A54915" w:rsidP="00BA405E">
            <w:pPr>
              <w:pStyle w:val="CoverPageLoanNumberandName"/>
              <w:spacing w:after="0"/>
              <w:jc w:val="left"/>
              <w:rPr>
                <w:rFonts w:ascii="Arial" w:eastAsia="MS Gothic" w:hAnsi="Arial" w:cs="Arial"/>
                <w:bCs/>
                <w:sz w:val="20"/>
                <w:szCs w:val="20"/>
              </w:rPr>
            </w:pPr>
            <w:r>
              <w:rPr>
                <w:rFonts w:ascii="Arial" w:eastAsia="MS Gothic" w:hAnsi="Arial" w:cs="Arial"/>
                <w:bCs/>
                <w:sz w:val="20"/>
                <w:szCs w:val="20"/>
              </w:rPr>
              <w:t>Consists of undeveloped land.</w:t>
            </w:r>
          </w:p>
        </w:tc>
      </w:tr>
      <w:tr w:rsidR="00EA4F60" w14:paraId="353CBF8A" w14:textId="77777777" w:rsidTr="00A54915">
        <w:tblPrEx>
          <w:tblLook w:val="0000" w:firstRow="0" w:lastRow="0" w:firstColumn="0" w:lastColumn="0" w:noHBand="0" w:noVBand="0"/>
        </w:tblPrEx>
        <w:trPr>
          <w:trHeight w:val="269"/>
        </w:trPr>
        <w:tc>
          <w:tcPr>
            <w:tcW w:w="630" w:type="dxa"/>
            <w:tcBorders>
              <w:top w:val="single" w:sz="4" w:space="0" w:color="auto"/>
              <w:bottom w:val="single" w:sz="4" w:space="0" w:color="auto"/>
            </w:tcBorders>
            <w:shd w:val="clear" w:color="auto" w:fill="auto"/>
          </w:tcPr>
          <w:p w14:paraId="060D6B6B" w14:textId="19ADA251" w:rsidR="00EA4F60" w:rsidRPr="008C078F" w:rsidRDefault="00934F0C" w:rsidP="00BA405E">
            <w:pPr>
              <w:pStyle w:val="CoverPageLoanNumberandName"/>
              <w:spacing w:after="0"/>
              <w:jc w:val="left"/>
              <w:rPr>
                <w:rFonts w:ascii="MS Gothic" w:eastAsia="MS Gothic" w:hAnsi="MS Gothic" w:cs="Arial"/>
                <w:bCs/>
                <w:sz w:val="28"/>
                <w:szCs w:val="28"/>
              </w:rPr>
            </w:pPr>
            <w:sdt>
              <w:sdtPr>
                <w:rPr>
                  <w:rFonts w:ascii="MS Gothic" w:eastAsia="MS Gothic" w:hAnsi="MS Gothic" w:cs="Arial" w:hint="eastAsia"/>
                  <w:bCs/>
                  <w:sz w:val="28"/>
                  <w:szCs w:val="28"/>
                </w:rPr>
                <w:id w:val="790935412"/>
                <w14:checkbox>
                  <w14:checked w14:val="0"/>
                  <w14:checkedState w14:val="2612" w14:font="MS Gothic"/>
                  <w14:uncheckedState w14:val="2610" w14:font="MS Gothic"/>
                </w14:checkbox>
              </w:sdtPr>
              <w:sdtEndPr/>
              <w:sdtContent>
                <w:r w:rsidR="00EA4F60" w:rsidRPr="008C078F">
                  <w:rPr>
                    <w:rFonts w:ascii="MS Gothic" w:eastAsia="MS Gothic" w:hAnsi="MS Gothic" w:cs="Arial" w:hint="eastAsia"/>
                    <w:bCs/>
                    <w:sz w:val="28"/>
                    <w:szCs w:val="28"/>
                  </w:rPr>
                  <w:t>☐</w:t>
                </w:r>
              </w:sdtContent>
            </w:sdt>
          </w:p>
        </w:tc>
        <w:tc>
          <w:tcPr>
            <w:tcW w:w="9635" w:type="dxa"/>
            <w:vAlign w:val="center"/>
          </w:tcPr>
          <w:p w14:paraId="4BDE9667" w14:textId="11184C3E" w:rsidR="00EA4F60" w:rsidRDefault="00EA4F60" w:rsidP="00BA405E">
            <w:pPr>
              <w:pStyle w:val="CoverPageLoanNumberandName"/>
              <w:spacing w:after="0"/>
              <w:jc w:val="left"/>
              <w:rPr>
                <w:rFonts w:ascii="Arial" w:eastAsia="MS Gothic" w:hAnsi="Arial" w:cs="Arial"/>
                <w:bCs/>
                <w:sz w:val="20"/>
                <w:szCs w:val="20"/>
              </w:rPr>
            </w:pPr>
            <w:r>
              <w:rPr>
                <w:rFonts w:ascii="Arial" w:eastAsia="MS Gothic" w:hAnsi="Arial" w:cs="Arial"/>
                <w:bCs/>
                <w:sz w:val="20"/>
                <w:szCs w:val="20"/>
              </w:rPr>
              <w:t xml:space="preserve">Other: </w:t>
            </w:r>
            <w:r w:rsidRPr="005C6BEA">
              <w:rPr>
                <w:rFonts w:ascii="Arial" w:eastAsia="MS Gothic" w:hAnsi="Arial" w:cs="Arial"/>
                <w:bCs/>
                <w:i/>
                <w:iCs/>
                <w:sz w:val="20"/>
                <w:szCs w:val="20"/>
              </w:rPr>
              <w:t>[describe]</w:t>
            </w:r>
          </w:p>
        </w:tc>
      </w:tr>
      <w:tr w:rsidR="00473F1D" w14:paraId="6B350E98" w14:textId="77777777" w:rsidTr="00BA405E">
        <w:tblPrEx>
          <w:tblLook w:val="0000" w:firstRow="0" w:lastRow="0" w:firstColumn="0" w:lastColumn="0" w:noHBand="0" w:noVBand="0"/>
        </w:tblPrEx>
        <w:trPr>
          <w:trHeight w:val="80"/>
        </w:trPr>
        <w:tc>
          <w:tcPr>
            <w:tcW w:w="10265" w:type="dxa"/>
            <w:gridSpan w:val="2"/>
            <w:vAlign w:val="center"/>
          </w:tcPr>
          <w:p w14:paraId="29A99E92" w14:textId="582376B4" w:rsidR="00473F1D" w:rsidRDefault="00473F1D" w:rsidP="00BA405E">
            <w:pPr>
              <w:pStyle w:val="CoverPageLoanNumberandName"/>
              <w:shd w:val="clear" w:color="auto" w:fill="FFFFFF"/>
              <w:spacing w:after="0"/>
              <w:ind w:left="259" w:hanging="259"/>
              <w:jc w:val="left"/>
              <w:rPr>
                <w:rFonts w:ascii="Arial" w:eastAsia="MS Gothic" w:hAnsi="Arial" w:cs="Arial"/>
                <w:i/>
                <w:sz w:val="20"/>
                <w:szCs w:val="20"/>
              </w:rPr>
            </w:pPr>
            <w:r w:rsidRPr="00AD0BB9">
              <w:rPr>
                <w:rFonts w:ascii="Arial" w:eastAsia="MS Gothic" w:hAnsi="Arial" w:cs="Arial"/>
                <w:i/>
                <w:sz w:val="16"/>
                <w:szCs w:val="16"/>
              </w:rPr>
              <w:t xml:space="preserve">(See </w:t>
            </w:r>
            <w:r>
              <w:rPr>
                <w:rFonts w:ascii="Arial" w:eastAsia="MS Gothic" w:hAnsi="Arial" w:cs="Arial"/>
                <w:i/>
                <w:sz w:val="16"/>
                <w:szCs w:val="16"/>
              </w:rPr>
              <w:t>Section</w:t>
            </w:r>
            <w:r w:rsidR="00A54915">
              <w:rPr>
                <w:rFonts w:ascii="Arial" w:eastAsia="MS Gothic" w:hAnsi="Arial" w:cs="Arial"/>
                <w:i/>
                <w:sz w:val="16"/>
                <w:szCs w:val="16"/>
              </w:rPr>
              <w:t>s</w:t>
            </w:r>
            <w:r>
              <w:rPr>
                <w:rFonts w:ascii="Arial" w:eastAsia="MS Gothic" w:hAnsi="Arial" w:cs="Arial"/>
                <w:i/>
                <w:sz w:val="16"/>
                <w:szCs w:val="16"/>
              </w:rPr>
              <w:t xml:space="preserve"> </w:t>
            </w:r>
            <w:r w:rsidR="00A54915">
              <w:rPr>
                <w:rFonts w:ascii="Arial" w:eastAsia="MS Gothic" w:hAnsi="Arial" w:cs="Arial"/>
                <w:i/>
                <w:sz w:val="16"/>
                <w:szCs w:val="16"/>
              </w:rPr>
              <w:t>4.02</w:t>
            </w:r>
            <w:r>
              <w:rPr>
                <w:rFonts w:ascii="Arial" w:eastAsia="MS Gothic" w:hAnsi="Arial" w:cs="Arial"/>
                <w:i/>
                <w:sz w:val="16"/>
                <w:szCs w:val="16"/>
              </w:rPr>
              <w:t xml:space="preserve"> and </w:t>
            </w:r>
            <w:r w:rsidR="00A54915">
              <w:rPr>
                <w:rFonts w:ascii="Arial" w:eastAsia="MS Gothic" w:hAnsi="Arial" w:cs="Arial"/>
                <w:i/>
                <w:sz w:val="16"/>
                <w:szCs w:val="16"/>
              </w:rPr>
              <w:t>6.</w:t>
            </w:r>
            <w:r w:rsidR="00287EBC">
              <w:rPr>
                <w:rFonts w:ascii="Arial" w:eastAsia="MS Gothic" w:hAnsi="Arial" w:cs="Arial"/>
                <w:i/>
                <w:sz w:val="16"/>
                <w:szCs w:val="16"/>
              </w:rPr>
              <w:t>41</w:t>
            </w:r>
            <w:r>
              <w:rPr>
                <w:rFonts w:ascii="Arial" w:eastAsia="MS Gothic" w:hAnsi="Arial" w:cs="Arial"/>
                <w:i/>
                <w:sz w:val="16"/>
                <w:szCs w:val="16"/>
              </w:rPr>
              <w:t xml:space="preserve">) </w:t>
            </w:r>
          </w:p>
        </w:tc>
      </w:tr>
      <w:bookmarkEnd w:id="0"/>
    </w:tbl>
    <w:p w14:paraId="3BE178C0" w14:textId="155579B5" w:rsidR="00473F1D" w:rsidRPr="00F2146A" w:rsidRDefault="00473F1D" w:rsidP="00C735BC">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3550F026" w14:textId="77777777" w:rsidR="00C735BC" w:rsidRPr="00F2146A" w:rsidRDefault="00C735BC" w:rsidP="00C735BC">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02A0E94A" w14:textId="1E01FE22" w:rsidR="00F2146A" w:rsidRPr="00F2146A" w:rsidRDefault="00F2146A" w:rsidP="00287EBC">
      <w:pPr>
        <w:rPr>
          <w:rFonts w:cs="Arial"/>
        </w:rPr>
      </w:pPr>
      <w:r w:rsidRPr="00F2146A">
        <w:rPr>
          <w:rFonts w:cs="Arial"/>
        </w:rPr>
        <w:t xml:space="preserve">B. </w:t>
      </w:r>
      <w:r w:rsidRPr="00F2146A">
        <w:rPr>
          <w:rFonts w:cs="Arial"/>
        </w:rPr>
        <w:tab/>
      </w:r>
      <w:r w:rsidR="00287EBC">
        <w:rPr>
          <w:rFonts w:cs="Arial"/>
        </w:rPr>
        <w:t>Reserved</w:t>
      </w:r>
    </w:p>
    <w:p w14:paraId="4BF96BC3" w14:textId="77777777" w:rsidR="00F2146A" w:rsidRPr="00F2146A" w:rsidRDefault="00F2146A" w:rsidP="00F2146A">
      <w:pPr>
        <w:rPr>
          <w:rFonts w:cs="Arial"/>
        </w:rPr>
      </w:pPr>
    </w:p>
    <w:p w14:paraId="7D19A084" w14:textId="0223E940" w:rsidR="00C735BC" w:rsidRPr="00F2146A" w:rsidRDefault="00391EED" w:rsidP="00F2146A">
      <w:pPr>
        <w:rPr>
          <w:rFonts w:cs="Arial"/>
        </w:rPr>
      </w:pPr>
      <w:r>
        <w:rPr>
          <w:rFonts w:cs="Arial"/>
        </w:rPr>
        <w:t>C</w:t>
      </w:r>
      <w:r w:rsidR="00C735BC" w:rsidRPr="00F2146A">
        <w:rPr>
          <w:rFonts w:cs="Arial"/>
        </w:rPr>
        <w:t>.</w:t>
      </w:r>
      <w:r w:rsidR="00C735BC" w:rsidRPr="00F2146A">
        <w:rPr>
          <w:rFonts w:cs="Arial"/>
        </w:rPr>
        <w:tab/>
        <w:t>Section 4.02(</w:t>
      </w:r>
      <w:r w:rsidR="009D7D06">
        <w:rPr>
          <w:rFonts w:cs="Arial"/>
        </w:rPr>
        <w:t>j</w:t>
      </w:r>
      <w:r w:rsidR="00C735BC" w:rsidRPr="00F2146A">
        <w:rPr>
          <w:rFonts w:cs="Arial"/>
        </w:rPr>
        <w:t>) is deleted and replaced with the following:</w:t>
      </w:r>
    </w:p>
    <w:p w14:paraId="5B2FE96E" w14:textId="77777777" w:rsidR="00C735BC" w:rsidRPr="00C735BC" w:rsidRDefault="00C735BC" w:rsidP="00C735BC">
      <w:pPr>
        <w:rPr>
          <w:rFonts w:cs="Arial"/>
        </w:rPr>
      </w:pPr>
    </w:p>
    <w:p w14:paraId="581AF601" w14:textId="7E957B63" w:rsidR="00C735BC" w:rsidRDefault="00C735BC" w:rsidP="00C735BC">
      <w:pPr>
        <w:ind w:left="1440" w:hanging="720"/>
        <w:rPr>
          <w:rFonts w:cs="Arial"/>
        </w:rPr>
      </w:pPr>
      <w:r w:rsidRPr="00C735BC">
        <w:rPr>
          <w:rFonts w:cs="Arial"/>
        </w:rPr>
        <w:t>(</w:t>
      </w:r>
      <w:r w:rsidR="009D7D06">
        <w:rPr>
          <w:rFonts w:cs="Arial"/>
        </w:rPr>
        <w:t>j</w:t>
      </w:r>
      <w:r w:rsidRPr="00C735BC">
        <w:rPr>
          <w:rFonts w:cs="Arial"/>
        </w:rPr>
        <w:t>)</w:t>
      </w:r>
      <w:r w:rsidRPr="00C735BC">
        <w:rPr>
          <w:rFonts w:cs="Arial"/>
        </w:rPr>
        <w:tab/>
        <w:t xml:space="preserve">Borrower represents and warrants that the Adjacent Parcel and the Mortgaged Property have been legally subdivided, and Borrower has done all things necessary and required by the local tax assessor’s office in order for the Adjacent Parcel and the Mortgaged Property to each be designated as a separate tax parcel by such assessor’s office. </w:t>
      </w:r>
    </w:p>
    <w:p w14:paraId="1D5C646C" w14:textId="77777777" w:rsidR="00C735BC" w:rsidRPr="00C735BC" w:rsidRDefault="00C735BC" w:rsidP="00C735BC">
      <w:pPr>
        <w:ind w:left="1440"/>
        <w:rPr>
          <w:rFonts w:cs="Arial"/>
        </w:rPr>
      </w:pPr>
    </w:p>
    <w:p w14:paraId="7C8557D3" w14:textId="2255DA81" w:rsidR="00C735BC" w:rsidRPr="00C735BC" w:rsidRDefault="00391EED" w:rsidP="00C735BC">
      <w:pPr>
        <w:ind w:left="720" w:hanging="720"/>
        <w:rPr>
          <w:rFonts w:cs="Arial"/>
        </w:rPr>
      </w:pPr>
      <w:r>
        <w:rPr>
          <w:rFonts w:cs="Arial"/>
        </w:rPr>
        <w:t>D</w:t>
      </w:r>
      <w:r w:rsidR="00C735BC" w:rsidRPr="00C735BC">
        <w:rPr>
          <w:rFonts w:cs="Arial"/>
        </w:rPr>
        <w:t>.</w:t>
      </w:r>
      <w:r w:rsidR="00C735BC" w:rsidRPr="00C735BC">
        <w:rPr>
          <w:rFonts w:cs="Arial"/>
        </w:rPr>
        <w:tab/>
        <w:t>Section 6.</w:t>
      </w:r>
      <w:r w:rsidR="00954E0F">
        <w:rPr>
          <w:rFonts w:cs="Arial"/>
        </w:rPr>
        <w:t>41</w:t>
      </w:r>
      <w:r w:rsidR="00954E0F" w:rsidRPr="00C735BC">
        <w:rPr>
          <w:rFonts w:cs="Arial"/>
        </w:rPr>
        <w:t xml:space="preserve"> </w:t>
      </w:r>
      <w:r w:rsidR="00C735BC" w:rsidRPr="00C735BC">
        <w:rPr>
          <w:rFonts w:cs="Arial"/>
        </w:rPr>
        <w:t>is deleted and replaced with the following:</w:t>
      </w:r>
    </w:p>
    <w:p w14:paraId="22873CA1" w14:textId="77777777" w:rsidR="00C735BC" w:rsidRPr="00C735BC" w:rsidRDefault="00C735BC" w:rsidP="00C735BC">
      <w:pPr>
        <w:ind w:left="2160" w:hanging="720"/>
        <w:rPr>
          <w:rFonts w:cs="Arial"/>
        </w:rPr>
      </w:pPr>
    </w:p>
    <w:p w14:paraId="392DB372" w14:textId="52AC455A" w:rsidR="00C735BC" w:rsidRPr="00C735BC" w:rsidRDefault="00C735BC" w:rsidP="00C735BC">
      <w:pPr>
        <w:ind w:left="720"/>
        <w:rPr>
          <w:rFonts w:cs="Arial"/>
          <w:b/>
        </w:rPr>
      </w:pPr>
      <w:r w:rsidRPr="00C735BC">
        <w:rPr>
          <w:rFonts w:cs="Arial"/>
          <w:b/>
        </w:rPr>
        <w:t>6.</w:t>
      </w:r>
      <w:r w:rsidR="00954E0F">
        <w:rPr>
          <w:rFonts w:cs="Arial"/>
          <w:b/>
        </w:rPr>
        <w:t>41</w:t>
      </w:r>
      <w:r w:rsidRPr="00C735BC">
        <w:rPr>
          <w:rFonts w:cs="Arial"/>
          <w:b/>
        </w:rPr>
        <w:tab/>
        <w:t>Separate Tax Parcels</w:t>
      </w:r>
    </w:p>
    <w:p w14:paraId="2949F6C7" w14:textId="77777777" w:rsidR="00C735BC" w:rsidRPr="00C735BC" w:rsidRDefault="00C735BC" w:rsidP="00C735BC">
      <w:pPr>
        <w:tabs>
          <w:tab w:val="left" w:pos="2880"/>
        </w:tabs>
        <w:ind w:left="2880" w:hanging="720"/>
        <w:rPr>
          <w:rFonts w:cs="Arial"/>
        </w:rPr>
      </w:pPr>
    </w:p>
    <w:p w14:paraId="158D0C62" w14:textId="1884C8C7" w:rsidR="00C735BC" w:rsidRPr="00C735BC" w:rsidRDefault="00C735BC" w:rsidP="00C735BC">
      <w:pPr>
        <w:ind w:left="2160" w:hanging="720"/>
        <w:rPr>
          <w:rFonts w:cs="Arial"/>
        </w:rPr>
      </w:pPr>
      <w:r w:rsidRPr="00C735BC">
        <w:rPr>
          <w:rFonts w:cs="Arial"/>
        </w:rPr>
        <w:t>(a)</w:t>
      </w:r>
      <w:r w:rsidRPr="00C735BC">
        <w:rPr>
          <w:rFonts w:cs="Arial"/>
        </w:rPr>
        <w:tab/>
        <w:t xml:space="preserve">Borrower will immediately notify </w:t>
      </w:r>
      <w:r w:rsidR="00287EBC">
        <w:rPr>
          <w:rFonts w:cs="Arial"/>
        </w:rPr>
        <w:t>Funding Lender</w:t>
      </w:r>
      <w:r w:rsidRPr="00C735BC">
        <w:rPr>
          <w:rFonts w:cs="Arial"/>
        </w:rPr>
        <w:t xml:space="preserve"> in writing upon designation of the Mortgaged Property and the Adjacent Property as separate tax parcels.</w:t>
      </w:r>
    </w:p>
    <w:p w14:paraId="5F20C824" w14:textId="77777777" w:rsidR="00C735BC" w:rsidRPr="00C735BC" w:rsidRDefault="00C735BC" w:rsidP="00C735BC">
      <w:pPr>
        <w:ind w:left="2160" w:hanging="720"/>
        <w:rPr>
          <w:rFonts w:cs="Arial"/>
        </w:rPr>
      </w:pPr>
    </w:p>
    <w:p w14:paraId="07AB044B" w14:textId="563F3448" w:rsidR="00C735BC" w:rsidRPr="00C735BC" w:rsidRDefault="00C735BC" w:rsidP="00C735BC">
      <w:pPr>
        <w:ind w:left="2160" w:hanging="720"/>
        <w:rPr>
          <w:rFonts w:cs="Arial"/>
        </w:rPr>
      </w:pPr>
      <w:r w:rsidRPr="00C735BC">
        <w:rPr>
          <w:rFonts w:cs="Arial"/>
        </w:rPr>
        <w:t>(b)</w:t>
      </w:r>
      <w:r w:rsidRPr="00C735BC">
        <w:rPr>
          <w:rFonts w:cs="Arial"/>
        </w:rPr>
        <w:tab/>
        <w:t xml:space="preserve">Upon the issuance of separate tax identification numbers, Borrower will deliver to </w:t>
      </w:r>
      <w:r w:rsidR="00287EBC">
        <w:rPr>
          <w:rFonts w:cs="Arial"/>
        </w:rPr>
        <w:t>Funding Lender</w:t>
      </w:r>
      <w:r w:rsidRPr="00C735BC">
        <w:rPr>
          <w:rFonts w:cs="Arial"/>
        </w:rPr>
        <w:t xml:space="preserve"> an ALTA 18-06 Single Tax Parcel endorsement to the </w:t>
      </w:r>
      <w:r w:rsidR="00287EBC">
        <w:rPr>
          <w:rFonts w:cs="Arial"/>
        </w:rPr>
        <w:t>Funding Lender</w:t>
      </w:r>
      <w:r w:rsidRPr="00C735BC">
        <w:rPr>
          <w:rFonts w:cs="Arial"/>
        </w:rPr>
        <w:t>’s title insurance policy within 30 days of issuance of the Mortgaged Property’s separate tax identification number.</w:t>
      </w:r>
    </w:p>
    <w:p w14:paraId="46D06459" w14:textId="77777777" w:rsidR="00C735BC" w:rsidRPr="00C735BC" w:rsidRDefault="00C735BC" w:rsidP="00C735BC">
      <w:pPr>
        <w:ind w:left="2160" w:hanging="720"/>
        <w:rPr>
          <w:rFonts w:cs="Arial"/>
        </w:rPr>
      </w:pPr>
    </w:p>
    <w:p w14:paraId="43A67F87" w14:textId="0484E8A1" w:rsidR="00C735BC" w:rsidRPr="00C735BC" w:rsidRDefault="00C735BC" w:rsidP="00C735BC">
      <w:pPr>
        <w:tabs>
          <w:tab w:val="left" w:pos="2160"/>
        </w:tabs>
        <w:ind w:left="2160" w:hanging="720"/>
        <w:rPr>
          <w:rFonts w:cs="Arial"/>
        </w:rPr>
      </w:pPr>
      <w:r w:rsidRPr="00C735BC">
        <w:rPr>
          <w:rFonts w:cs="Arial"/>
        </w:rPr>
        <w:t>(c)</w:t>
      </w:r>
      <w:r w:rsidRPr="00C735BC">
        <w:rPr>
          <w:rFonts w:cs="Arial"/>
        </w:rPr>
        <w:tab/>
        <w:t xml:space="preserve">Notwithstanding anything to the contrary in this </w:t>
      </w:r>
      <w:r w:rsidR="00287EBC">
        <w:rPr>
          <w:rFonts w:cs="Arial"/>
        </w:rPr>
        <w:t>Continuing Covenant Agreement</w:t>
      </w:r>
      <w:r w:rsidRPr="00C735BC">
        <w:rPr>
          <w:rFonts w:cs="Arial"/>
        </w:rPr>
        <w:t xml:space="preserve">, </w:t>
      </w:r>
      <w:r w:rsidR="00287EBC">
        <w:rPr>
          <w:rFonts w:cs="Arial"/>
        </w:rPr>
        <w:t>Funding Lender</w:t>
      </w:r>
      <w:r w:rsidRPr="00C735BC">
        <w:rPr>
          <w:rFonts w:cs="Arial"/>
        </w:rPr>
        <w:t xml:space="preserve"> will pay to Borrower the amount of the Imposition </w:t>
      </w:r>
      <w:r w:rsidR="00287EBC">
        <w:rPr>
          <w:rFonts w:cs="Arial"/>
        </w:rPr>
        <w:t xml:space="preserve">Reserve </w:t>
      </w:r>
      <w:r w:rsidRPr="00C735BC">
        <w:rPr>
          <w:rFonts w:cs="Arial"/>
        </w:rPr>
        <w:t xml:space="preserve">Deposit for Taxes attributable to the Adjacent Parcel when all of the following conditions have been met: </w:t>
      </w:r>
    </w:p>
    <w:p w14:paraId="657725AC" w14:textId="77777777" w:rsidR="00C735BC" w:rsidRPr="00C735BC" w:rsidRDefault="00C735BC" w:rsidP="00C735BC">
      <w:pPr>
        <w:tabs>
          <w:tab w:val="left" w:pos="2160"/>
        </w:tabs>
        <w:ind w:left="1134" w:hanging="630"/>
        <w:rPr>
          <w:rFonts w:cs="Arial"/>
        </w:rPr>
      </w:pPr>
    </w:p>
    <w:p w14:paraId="26ED2A34" w14:textId="5CF05FAB" w:rsidR="00C735BC" w:rsidRPr="00C735BC" w:rsidRDefault="00C735BC" w:rsidP="00C735BC">
      <w:pPr>
        <w:ind w:left="2880" w:hanging="720"/>
        <w:rPr>
          <w:rFonts w:cs="Arial"/>
        </w:rPr>
      </w:pPr>
      <w:r w:rsidRPr="00C735BC">
        <w:rPr>
          <w:rFonts w:cs="Arial"/>
        </w:rPr>
        <w:t>(i)</w:t>
      </w:r>
      <w:r w:rsidRPr="00C735BC">
        <w:rPr>
          <w:rFonts w:cs="Arial"/>
        </w:rPr>
        <w:tab/>
      </w:r>
      <w:r w:rsidR="00287EBC">
        <w:rPr>
          <w:rFonts w:cs="Arial"/>
        </w:rPr>
        <w:t>Funding Lender</w:t>
      </w:r>
      <w:r w:rsidRPr="00C735BC">
        <w:rPr>
          <w:rFonts w:cs="Arial"/>
        </w:rPr>
        <w:t xml:space="preserve"> has received evidence satisfactory to </w:t>
      </w:r>
      <w:r w:rsidR="00287EBC">
        <w:rPr>
          <w:rFonts w:cs="Arial"/>
        </w:rPr>
        <w:t>Funding Lender</w:t>
      </w:r>
      <w:r w:rsidRPr="00C735BC">
        <w:rPr>
          <w:rFonts w:cs="Arial"/>
        </w:rPr>
        <w:t xml:space="preserve"> that the Mortgaged Property and the Adjacent Parcel have been designated as separate tax parcels and separate tax identification numbers have been issued for each parcel.</w:t>
      </w:r>
    </w:p>
    <w:p w14:paraId="7378C3E3" w14:textId="77777777" w:rsidR="00C735BC" w:rsidRPr="00C735BC" w:rsidRDefault="00C735BC" w:rsidP="00C735BC">
      <w:pPr>
        <w:ind w:left="2880" w:hanging="720"/>
        <w:rPr>
          <w:rFonts w:cs="Arial"/>
        </w:rPr>
      </w:pPr>
      <w:r w:rsidRPr="00C735BC">
        <w:rPr>
          <w:rFonts w:cs="Arial"/>
        </w:rPr>
        <w:t xml:space="preserve"> </w:t>
      </w:r>
    </w:p>
    <w:p w14:paraId="7AFFC1BD" w14:textId="14BF2568" w:rsidR="00C735BC" w:rsidRPr="00C735BC" w:rsidRDefault="00C735BC" w:rsidP="00C735BC">
      <w:pPr>
        <w:ind w:left="2880" w:hanging="720"/>
        <w:rPr>
          <w:rFonts w:cs="Arial"/>
        </w:rPr>
      </w:pPr>
      <w:r w:rsidRPr="00C735BC">
        <w:rPr>
          <w:rFonts w:cs="Arial"/>
        </w:rPr>
        <w:t>(ii)</w:t>
      </w:r>
      <w:r w:rsidRPr="00C735BC">
        <w:rPr>
          <w:rFonts w:cs="Arial"/>
        </w:rPr>
        <w:tab/>
      </w:r>
      <w:r w:rsidR="00287EBC">
        <w:rPr>
          <w:rFonts w:cs="Arial"/>
        </w:rPr>
        <w:t>Funding Lender</w:t>
      </w:r>
      <w:r w:rsidRPr="00C735BC">
        <w:rPr>
          <w:rFonts w:cs="Arial"/>
        </w:rPr>
        <w:t xml:space="preserve"> has received an ALTA 18-06 Single Tax Parcel endorsement to the </w:t>
      </w:r>
      <w:r w:rsidR="00287EBC">
        <w:rPr>
          <w:rFonts w:cs="Arial"/>
        </w:rPr>
        <w:t>Funding Lender</w:t>
      </w:r>
      <w:r w:rsidRPr="00C735BC">
        <w:rPr>
          <w:rFonts w:cs="Arial"/>
        </w:rPr>
        <w:t>’s title insurance policy.</w:t>
      </w:r>
    </w:p>
    <w:p w14:paraId="40B86D9D" w14:textId="77777777" w:rsidR="00C735BC" w:rsidRPr="00C735BC" w:rsidRDefault="00C735BC" w:rsidP="00C735BC">
      <w:pPr>
        <w:ind w:left="2880" w:hanging="720"/>
        <w:rPr>
          <w:rFonts w:cs="Arial"/>
        </w:rPr>
      </w:pPr>
      <w:r w:rsidRPr="00C735BC">
        <w:rPr>
          <w:rFonts w:cs="Arial"/>
        </w:rPr>
        <w:t xml:space="preserve"> </w:t>
      </w:r>
    </w:p>
    <w:p w14:paraId="7E5206E9" w14:textId="521D24E0" w:rsidR="00C735BC" w:rsidRPr="00C735BC" w:rsidRDefault="00C735BC" w:rsidP="00C735BC">
      <w:pPr>
        <w:ind w:left="2880" w:hanging="720"/>
        <w:rPr>
          <w:rFonts w:cs="Arial"/>
        </w:rPr>
      </w:pPr>
      <w:r w:rsidRPr="00C735BC">
        <w:rPr>
          <w:rFonts w:cs="Arial"/>
        </w:rPr>
        <w:lastRenderedPageBreak/>
        <w:t>(iii)</w:t>
      </w:r>
      <w:r w:rsidRPr="00C735BC">
        <w:rPr>
          <w:rFonts w:cs="Arial"/>
        </w:rPr>
        <w:tab/>
        <w:t xml:space="preserve">Borrower has made a written request to </w:t>
      </w:r>
      <w:r w:rsidR="00287EBC">
        <w:rPr>
          <w:rFonts w:cs="Arial"/>
        </w:rPr>
        <w:t>Funding Lender</w:t>
      </w:r>
      <w:r w:rsidRPr="00C735BC">
        <w:rPr>
          <w:rFonts w:cs="Arial"/>
        </w:rPr>
        <w:t xml:space="preserve"> for a refund of the portion of the Imposition</w:t>
      </w:r>
      <w:r w:rsidR="00287EBC">
        <w:rPr>
          <w:rFonts w:cs="Arial"/>
        </w:rPr>
        <w:t xml:space="preserve"> Reserve</w:t>
      </w:r>
      <w:r w:rsidRPr="00C735BC">
        <w:rPr>
          <w:rFonts w:cs="Arial"/>
        </w:rPr>
        <w:t xml:space="preserve"> Deposit for Taxes attributable to the Adjacent Parcel.</w:t>
      </w:r>
    </w:p>
    <w:p w14:paraId="4BA816B9" w14:textId="77777777" w:rsidR="00C735BC" w:rsidRPr="00C735BC" w:rsidRDefault="00C735BC" w:rsidP="00C735BC">
      <w:pPr>
        <w:rPr>
          <w:rFonts w:cs="Arial"/>
        </w:rPr>
      </w:pPr>
    </w:p>
    <w:p w14:paraId="0A7CA043" w14:textId="60EF491C" w:rsidR="00C735BC" w:rsidRPr="00C735BC" w:rsidRDefault="00391EED" w:rsidP="00A54915">
      <w:pPr>
        <w:keepNext/>
        <w:keepLines/>
        <w:rPr>
          <w:rFonts w:cs="Arial"/>
        </w:rPr>
      </w:pPr>
      <w:r>
        <w:rPr>
          <w:rFonts w:cs="Arial"/>
        </w:rPr>
        <w:t>E</w:t>
      </w:r>
      <w:r w:rsidR="00C735BC" w:rsidRPr="00C735BC">
        <w:rPr>
          <w:rFonts w:cs="Arial"/>
        </w:rPr>
        <w:t>.</w:t>
      </w:r>
      <w:r w:rsidR="00C735BC" w:rsidRPr="00C735BC">
        <w:rPr>
          <w:rFonts w:cs="Arial"/>
        </w:rPr>
        <w:tab/>
        <w:t xml:space="preserve">The following definition in Article XII is </w:t>
      </w:r>
      <w:r w:rsidR="00E53F52" w:rsidRPr="00C735BC">
        <w:rPr>
          <w:rFonts w:cs="Arial"/>
        </w:rPr>
        <w:t>deleted and replaced with the following</w:t>
      </w:r>
      <w:r w:rsidR="00C735BC" w:rsidRPr="00C735BC">
        <w:rPr>
          <w:rFonts w:cs="Arial"/>
        </w:rPr>
        <w:t>:</w:t>
      </w:r>
    </w:p>
    <w:p w14:paraId="6A1CD0C7" w14:textId="77777777" w:rsidR="00C735BC" w:rsidRPr="00C735BC" w:rsidRDefault="00C735BC" w:rsidP="00A54915">
      <w:pPr>
        <w:keepNext/>
        <w:keepLines/>
        <w:rPr>
          <w:rFonts w:cs="Arial"/>
        </w:rPr>
      </w:pPr>
    </w:p>
    <w:p w14:paraId="6E824319" w14:textId="77777777" w:rsidR="00C735BC" w:rsidRPr="00C735BC" w:rsidRDefault="00C735BC" w:rsidP="00A10874">
      <w:pPr>
        <w:pStyle w:val="Scheme11L2"/>
        <w:numPr>
          <w:ilvl w:val="0"/>
          <w:numId w:val="0"/>
        </w:numPr>
        <w:spacing w:after="0"/>
        <w:ind w:left="720"/>
        <w:jc w:val="left"/>
        <w:outlineLvl w:val="9"/>
        <w:rPr>
          <w:rFonts w:ascii="Arial" w:hAnsi="Arial" w:cs="Arial"/>
          <w:sz w:val="20"/>
        </w:rPr>
      </w:pPr>
      <w:r w:rsidRPr="00C735BC">
        <w:rPr>
          <w:rFonts w:ascii="Arial" w:hAnsi="Arial" w:cs="Arial"/>
          <w:sz w:val="20"/>
        </w:rPr>
        <w:t>“</w:t>
      </w:r>
      <w:r w:rsidRPr="00C735BC">
        <w:rPr>
          <w:rStyle w:val="DefinedTerm"/>
          <w:rFonts w:ascii="Arial" w:hAnsi="Arial" w:cs="Arial"/>
          <w:bCs w:val="0"/>
          <w:sz w:val="20"/>
        </w:rPr>
        <w:t>Taxes</w:t>
      </w:r>
      <w:r w:rsidRPr="00C735BC">
        <w:rPr>
          <w:rFonts w:ascii="Arial" w:hAnsi="Arial" w:cs="Arial"/>
          <w:sz w:val="20"/>
        </w:rPr>
        <w:t xml:space="preserve">” means all taxes, assessments, vault rentals and other charges, if any, whether general, special or otherwise, including all assessments for schools, public betterments </w:t>
      </w:r>
      <w:r w:rsidRPr="00C735BC">
        <w:rPr>
          <w:rFonts w:ascii="Arial" w:hAnsi="Arial" w:cs="Arial"/>
          <w:bCs w:val="0"/>
          <w:sz w:val="20"/>
        </w:rPr>
        <w:t>and</w:t>
      </w:r>
      <w:r w:rsidRPr="00C735BC">
        <w:rPr>
          <w:rFonts w:ascii="Arial" w:hAnsi="Arial" w:cs="Arial"/>
          <w:sz w:val="20"/>
        </w:rPr>
        <w:t xml:space="preserve"> general or local improvements, which are levied, assessed or imposed by any public authority or quasi-public authority, and which, if not paid, will become a Lien on any of the following:</w:t>
      </w:r>
    </w:p>
    <w:p w14:paraId="16550A00" w14:textId="77777777" w:rsidR="00C735BC" w:rsidRPr="00C735BC" w:rsidRDefault="00C735BC" w:rsidP="00A10874">
      <w:pPr>
        <w:pStyle w:val="Scheme11L2"/>
        <w:numPr>
          <w:ilvl w:val="0"/>
          <w:numId w:val="0"/>
        </w:numPr>
        <w:spacing w:after="0"/>
        <w:ind w:left="720"/>
        <w:jc w:val="left"/>
        <w:outlineLvl w:val="9"/>
        <w:rPr>
          <w:rFonts w:ascii="Arial" w:hAnsi="Arial" w:cs="Arial"/>
          <w:sz w:val="20"/>
        </w:rPr>
      </w:pPr>
      <w:r w:rsidRPr="00C735BC">
        <w:rPr>
          <w:rFonts w:ascii="Arial" w:hAnsi="Arial" w:cs="Arial"/>
          <w:sz w:val="20"/>
        </w:rPr>
        <w:t xml:space="preserve"> </w:t>
      </w:r>
    </w:p>
    <w:p w14:paraId="576D557A" w14:textId="77777777" w:rsidR="00C735BC" w:rsidRPr="00C735BC" w:rsidRDefault="00C735BC" w:rsidP="00A10874">
      <w:pPr>
        <w:pStyle w:val="Scheme11L2"/>
        <w:numPr>
          <w:ilvl w:val="0"/>
          <w:numId w:val="0"/>
        </w:numPr>
        <w:spacing w:after="0"/>
        <w:ind w:left="1440" w:hanging="720"/>
        <w:jc w:val="left"/>
        <w:outlineLvl w:val="9"/>
        <w:rPr>
          <w:rFonts w:ascii="Arial" w:hAnsi="Arial" w:cs="Arial"/>
          <w:sz w:val="20"/>
        </w:rPr>
      </w:pPr>
      <w:r w:rsidRPr="00C735BC">
        <w:rPr>
          <w:rFonts w:ascii="Arial" w:hAnsi="Arial" w:cs="Arial"/>
          <w:sz w:val="20"/>
        </w:rPr>
        <w:t>(i)</w:t>
      </w:r>
      <w:r w:rsidRPr="00C735BC">
        <w:rPr>
          <w:rFonts w:ascii="Arial" w:hAnsi="Arial" w:cs="Arial"/>
          <w:sz w:val="20"/>
        </w:rPr>
        <w:tab/>
        <w:t>The Land.</w:t>
      </w:r>
    </w:p>
    <w:p w14:paraId="1874FAFF" w14:textId="77777777" w:rsidR="00C735BC" w:rsidRPr="00C735BC" w:rsidRDefault="00C735BC" w:rsidP="00F10904">
      <w:pPr>
        <w:pStyle w:val="BodyText"/>
        <w:spacing w:after="0"/>
        <w:rPr>
          <w:rFonts w:ascii="Arial" w:hAnsi="Arial" w:cs="Arial"/>
          <w:sz w:val="20"/>
          <w:szCs w:val="20"/>
        </w:rPr>
      </w:pPr>
    </w:p>
    <w:p w14:paraId="5ACDBBA9" w14:textId="77777777" w:rsidR="00C735BC" w:rsidRPr="00C735BC" w:rsidRDefault="00C735BC" w:rsidP="00A10874">
      <w:pPr>
        <w:pStyle w:val="Scheme11L2"/>
        <w:numPr>
          <w:ilvl w:val="0"/>
          <w:numId w:val="0"/>
        </w:numPr>
        <w:spacing w:after="0"/>
        <w:ind w:left="1440" w:hanging="720"/>
        <w:jc w:val="left"/>
        <w:outlineLvl w:val="9"/>
        <w:rPr>
          <w:rFonts w:ascii="Arial" w:hAnsi="Arial" w:cs="Arial"/>
          <w:sz w:val="20"/>
        </w:rPr>
      </w:pPr>
      <w:r w:rsidRPr="00C735BC">
        <w:rPr>
          <w:rFonts w:ascii="Arial" w:hAnsi="Arial" w:cs="Arial"/>
          <w:sz w:val="20"/>
        </w:rPr>
        <w:t>(ii)</w:t>
      </w:r>
      <w:r w:rsidRPr="00C735BC">
        <w:rPr>
          <w:rFonts w:ascii="Arial" w:hAnsi="Arial" w:cs="Arial"/>
          <w:sz w:val="20"/>
        </w:rPr>
        <w:tab/>
        <w:t>The Improvements.</w:t>
      </w:r>
    </w:p>
    <w:p w14:paraId="21A536FC" w14:textId="77777777" w:rsidR="00C735BC" w:rsidRPr="00C735BC" w:rsidRDefault="00C735BC" w:rsidP="00F10904">
      <w:pPr>
        <w:pStyle w:val="BodyText"/>
        <w:spacing w:after="0"/>
        <w:rPr>
          <w:rFonts w:ascii="Arial" w:hAnsi="Arial" w:cs="Arial"/>
          <w:sz w:val="20"/>
          <w:szCs w:val="20"/>
        </w:rPr>
      </w:pPr>
    </w:p>
    <w:p w14:paraId="5A3B2D4C" w14:textId="1AF26ADB" w:rsidR="00C735BC" w:rsidRDefault="00C735BC" w:rsidP="00A10874">
      <w:pPr>
        <w:pStyle w:val="Scheme11L2"/>
        <w:numPr>
          <w:ilvl w:val="0"/>
          <w:numId w:val="0"/>
        </w:numPr>
        <w:spacing w:after="0"/>
        <w:ind w:left="1440" w:hanging="720"/>
        <w:jc w:val="left"/>
        <w:outlineLvl w:val="9"/>
        <w:rPr>
          <w:rFonts w:ascii="Arial" w:hAnsi="Arial" w:cs="Arial"/>
          <w:sz w:val="20"/>
        </w:rPr>
      </w:pPr>
      <w:r w:rsidRPr="00C735BC">
        <w:rPr>
          <w:rFonts w:ascii="Arial" w:hAnsi="Arial" w:cs="Arial"/>
          <w:sz w:val="20"/>
        </w:rPr>
        <w:t>(iii)</w:t>
      </w:r>
      <w:r w:rsidRPr="00C735BC">
        <w:rPr>
          <w:rFonts w:ascii="Arial" w:hAnsi="Arial" w:cs="Arial"/>
          <w:sz w:val="20"/>
        </w:rPr>
        <w:tab/>
        <w:t>Until such time as the Adjacent Parcel is identified as a separate tax parcel, on the Adjacent Parcel.</w:t>
      </w:r>
    </w:p>
    <w:p w14:paraId="4CADBDBD" w14:textId="77777777" w:rsidR="00F650E0" w:rsidRPr="00C735BC" w:rsidRDefault="00F650E0" w:rsidP="00C735BC">
      <w:pPr>
        <w:rPr>
          <w:rFonts w:cs="Arial"/>
        </w:rPr>
      </w:pPr>
    </w:p>
    <w:p w14:paraId="2B558129" w14:textId="550A174A" w:rsidR="00C735BC" w:rsidRPr="00C735BC" w:rsidRDefault="00391EED" w:rsidP="00C735BC">
      <w:pPr>
        <w:rPr>
          <w:rFonts w:cs="Arial"/>
        </w:rPr>
      </w:pPr>
      <w:r>
        <w:rPr>
          <w:rFonts w:cs="Arial"/>
        </w:rPr>
        <w:t>F</w:t>
      </w:r>
      <w:r w:rsidR="00C735BC" w:rsidRPr="00C735BC">
        <w:rPr>
          <w:rFonts w:cs="Arial"/>
        </w:rPr>
        <w:t>.</w:t>
      </w:r>
      <w:r w:rsidR="00C735BC" w:rsidRPr="00C735BC">
        <w:rPr>
          <w:rFonts w:cs="Arial"/>
        </w:rPr>
        <w:tab/>
        <w:t>The following definition is added to Article XII:</w:t>
      </w:r>
    </w:p>
    <w:p w14:paraId="0A48D66B" w14:textId="77777777" w:rsidR="00C735BC" w:rsidRPr="00C735BC" w:rsidRDefault="00C735BC" w:rsidP="00C735BC">
      <w:pPr>
        <w:rPr>
          <w:rFonts w:cs="Arial"/>
        </w:rPr>
      </w:pPr>
    </w:p>
    <w:p w14:paraId="4D92F3C5" w14:textId="35ED7A44" w:rsidR="00E73FB7" w:rsidRPr="00C735BC" w:rsidRDefault="00A54915" w:rsidP="00C735BC">
      <w:pPr>
        <w:ind w:left="720"/>
        <w:rPr>
          <w:rFonts w:cs="Arial"/>
        </w:rPr>
      </w:pPr>
      <w:r>
        <w:rPr>
          <w:rFonts w:cs="Arial"/>
        </w:rPr>
        <w:t>“</w:t>
      </w:r>
      <w:r w:rsidR="00C735BC" w:rsidRPr="00C735BC">
        <w:rPr>
          <w:rFonts w:cs="Arial"/>
          <w:b/>
        </w:rPr>
        <w:t>Adjacent Parcel</w:t>
      </w:r>
      <w:r>
        <w:rPr>
          <w:rFonts w:cs="Arial"/>
        </w:rPr>
        <w:t xml:space="preserve">” is defined in </w:t>
      </w:r>
      <w:r w:rsidR="00954E0F">
        <w:rPr>
          <w:rFonts w:cs="Arial"/>
        </w:rPr>
        <w:t>Section 1.04</w:t>
      </w:r>
      <w:r>
        <w:rPr>
          <w:rFonts w:cs="Arial"/>
        </w:rPr>
        <w:t xml:space="preserve">. </w:t>
      </w:r>
    </w:p>
    <w:p w14:paraId="49B20F62" w14:textId="77777777" w:rsidR="00E73FB7" w:rsidRPr="00C735BC" w:rsidRDefault="00E73FB7">
      <w:pPr>
        <w:rPr>
          <w:rFonts w:cs="Arial"/>
        </w:rPr>
      </w:pPr>
    </w:p>
    <w:sectPr w:rsidR="00E73FB7" w:rsidRPr="00C735BC"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39C" w14:textId="77777777" w:rsidR="00C735BC" w:rsidRDefault="00C735BC" w:rsidP="007143D8">
    <w:pPr>
      <w:pStyle w:val="Footer"/>
      <w:tabs>
        <w:tab w:val="left" w:pos="473"/>
        <w:tab w:val="right" w:pos="10080"/>
      </w:tabs>
    </w:pPr>
  </w:p>
  <w:p w14:paraId="05B90F0E" w14:textId="053B8F48" w:rsidR="00D87CC8" w:rsidRPr="00A31838" w:rsidRDefault="007143D8" w:rsidP="007143D8">
    <w:pPr>
      <w:pStyle w:val="Footer"/>
      <w:tabs>
        <w:tab w:val="left" w:pos="473"/>
        <w:tab w:val="right" w:pos="10080"/>
      </w:tabs>
    </w:pPr>
    <w:r w:rsidRPr="00A31838">
      <w:t xml:space="preserve">Rider to </w:t>
    </w:r>
    <w:r w:rsidR="00287EBC">
      <w:t>Continuing Covenant Agreement</w:t>
    </w:r>
    <w:r w:rsidRPr="00A31838">
      <w:t xml:space="preserve"> </w:t>
    </w:r>
    <w:r w:rsidR="00D87CC8">
      <w:t xml:space="preserve">– TEL </w:t>
    </w:r>
  </w:p>
  <w:p w14:paraId="036F8DAB" w14:textId="190C8407" w:rsidR="00E73FB7" w:rsidRPr="00C735BC" w:rsidRDefault="00C735BC" w:rsidP="00C735BC">
    <w:pPr>
      <w:shd w:val="clear" w:color="auto" w:fill="FFFFFF"/>
      <w:tabs>
        <w:tab w:val="left" w:pos="360"/>
        <w:tab w:val="left" w:pos="720"/>
        <w:tab w:val="left" w:pos="1080"/>
        <w:tab w:val="left" w:pos="1440"/>
      </w:tabs>
      <w:rPr>
        <w:rFonts w:cs="Arial"/>
        <w:bCs/>
      </w:rPr>
    </w:pPr>
    <w:r w:rsidRPr="00C735BC">
      <w:rPr>
        <w:rFonts w:cs="Arial"/>
        <w:bCs/>
      </w:rPr>
      <w:t>Property Not Separate Tax Parcel</w:t>
    </w:r>
    <w:r>
      <w:rPr>
        <w:rFonts w:cs="Arial"/>
        <w:bCs/>
      </w:rPr>
      <w:tab/>
    </w:r>
    <w:r>
      <w:rPr>
        <w:rFonts w:cs="Arial"/>
        <w:bCs/>
      </w:rPr>
      <w:tab/>
    </w:r>
    <w:r>
      <w:rPr>
        <w:rFonts w:cs="Arial"/>
        <w:bCs/>
      </w:rPr>
      <w:tab/>
    </w:r>
    <w:r>
      <w:rPr>
        <w:rFonts w:cs="Arial"/>
        <w:bCs/>
      </w:rPr>
      <w:tab/>
    </w:r>
    <w:r>
      <w:rPr>
        <w:rFonts w:cs="Arial"/>
        <w:bCs/>
      </w:rPr>
      <w:tab/>
    </w:r>
    <w:r>
      <w:rPr>
        <w:rFonts w:cs="Arial"/>
        <w:bCs/>
      </w:rPr>
      <w:tab/>
    </w:r>
    <w:r w:rsidR="00D92550">
      <w:t xml:space="preserve"> </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8FA" w14:textId="77777777" w:rsidR="00C735BC" w:rsidRDefault="00C735BC" w:rsidP="006903FD">
    <w:pPr>
      <w:pStyle w:val="Footer"/>
      <w:tabs>
        <w:tab w:val="left" w:pos="473"/>
        <w:tab w:val="right" w:pos="10080"/>
      </w:tabs>
    </w:pPr>
  </w:p>
  <w:p w14:paraId="22D2B3CD" w14:textId="6C6F2B56" w:rsidR="006903FD" w:rsidRPr="00C735BC" w:rsidRDefault="006903FD" w:rsidP="00C735BC">
    <w:pPr>
      <w:shd w:val="clear" w:color="auto" w:fill="FFFFFF"/>
      <w:tabs>
        <w:tab w:val="left" w:pos="360"/>
        <w:tab w:val="left" w:pos="720"/>
        <w:tab w:val="left" w:pos="1080"/>
        <w:tab w:val="left" w:pos="1440"/>
      </w:tabs>
      <w:rPr>
        <w:rFonts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A2E5F"/>
    <w:multiLevelType w:val="multilevel"/>
    <w:tmpl w:val="A260CBE2"/>
    <w:lvl w:ilvl="0">
      <w:start w:val="1"/>
      <w:numFmt w:val="decimal"/>
      <w:pStyle w:val="Scheme11L1"/>
      <w:lvlText w:val="%1."/>
      <w:lvlJc w:val="left"/>
      <w:pPr>
        <w:tabs>
          <w:tab w:val="num" w:pos="1080"/>
        </w:tabs>
        <w:ind w:left="0" w:firstLine="720"/>
      </w:pPr>
      <w:rPr>
        <w:rFonts w:ascii="Times New Roman" w:hAnsi="Times New Roman" w:cs="Times New Roman" w:hint="default"/>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hint="default"/>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hint="default"/>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hint="default"/>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hint="default"/>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hint="default"/>
        <w:b w:val="0"/>
        <w:i w:val="0"/>
        <w:caps w:val="0"/>
        <w:u w:val="none"/>
      </w:rPr>
    </w:lvl>
  </w:abstractNum>
  <w:num w:numId="1" w16cid:durableId="1755079864">
    <w:abstractNumId w:val="0"/>
  </w:num>
  <w:num w:numId="2" w16cid:durableId="809371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43CBE"/>
    <w:rsid w:val="00046764"/>
    <w:rsid w:val="000A1DF9"/>
    <w:rsid w:val="001E6D7D"/>
    <w:rsid w:val="00287EBC"/>
    <w:rsid w:val="00296EFE"/>
    <w:rsid w:val="002C21E5"/>
    <w:rsid w:val="003852BE"/>
    <w:rsid w:val="00391EED"/>
    <w:rsid w:val="00473F1D"/>
    <w:rsid w:val="00477ACE"/>
    <w:rsid w:val="004E5B09"/>
    <w:rsid w:val="0052776E"/>
    <w:rsid w:val="00560E9F"/>
    <w:rsid w:val="005C6BEA"/>
    <w:rsid w:val="005F7525"/>
    <w:rsid w:val="00634E53"/>
    <w:rsid w:val="006903FD"/>
    <w:rsid w:val="00694DA0"/>
    <w:rsid w:val="006A1F77"/>
    <w:rsid w:val="006A798B"/>
    <w:rsid w:val="007143D8"/>
    <w:rsid w:val="00763FA1"/>
    <w:rsid w:val="00806693"/>
    <w:rsid w:val="00845608"/>
    <w:rsid w:val="00852C47"/>
    <w:rsid w:val="008C078F"/>
    <w:rsid w:val="00934F0C"/>
    <w:rsid w:val="00954E0F"/>
    <w:rsid w:val="009B3079"/>
    <w:rsid w:val="009D7D06"/>
    <w:rsid w:val="00A10874"/>
    <w:rsid w:val="00A22FA5"/>
    <w:rsid w:val="00A31838"/>
    <w:rsid w:val="00A44FA1"/>
    <w:rsid w:val="00A51C85"/>
    <w:rsid w:val="00A54915"/>
    <w:rsid w:val="00AA6FE7"/>
    <w:rsid w:val="00B604F3"/>
    <w:rsid w:val="00C008B4"/>
    <w:rsid w:val="00C20E4B"/>
    <w:rsid w:val="00C735BC"/>
    <w:rsid w:val="00CA22B1"/>
    <w:rsid w:val="00D84C4B"/>
    <w:rsid w:val="00D87CC8"/>
    <w:rsid w:val="00D92550"/>
    <w:rsid w:val="00D94144"/>
    <w:rsid w:val="00DC2C06"/>
    <w:rsid w:val="00DF0899"/>
    <w:rsid w:val="00E027A0"/>
    <w:rsid w:val="00E0589F"/>
    <w:rsid w:val="00E53F52"/>
    <w:rsid w:val="00E73FB7"/>
    <w:rsid w:val="00EA4F60"/>
    <w:rsid w:val="00EA5F98"/>
    <w:rsid w:val="00EF2A33"/>
    <w:rsid w:val="00F10904"/>
    <w:rsid w:val="00F2146A"/>
    <w:rsid w:val="00F6196E"/>
    <w:rsid w:val="00F6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CoverPageLoanNumberandName">
    <w:name w:val="Cover Page (Loan Number and Name)"/>
    <w:basedOn w:val="Normal"/>
    <w:rsid w:val="00C735BC"/>
    <w:pPr>
      <w:spacing w:after="240"/>
      <w:jc w:val="both"/>
    </w:pPr>
    <w:rPr>
      <w:rFonts w:ascii="Times New Roman" w:hAnsi="Times New Roman"/>
      <w:sz w:val="24"/>
      <w:szCs w:val="24"/>
    </w:rPr>
  </w:style>
  <w:style w:type="paragraph" w:customStyle="1" w:styleId="Scheme11L1">
    <w:name w:val="Scheme11_L1"/>
    <w:basedOn w:val="Normal"/>
    <w:next w:val="BodyText"/>
    <w:rsid w:val="00C735BC"/>
    <w:pPr>
      <w:numPr>
        <w:numId w:val="2"/>
      </w:numPr>
      <w:spacing w:after="240"/>
      <w:jc w:val="both"/>
      <w:outlineLvl w:val="0"/>
    </w:pPr>
    <w:rPr>
      <w:rFonts w:ascii="Times New Roman" w:hAnsi="Times New Roman"/>
      <w:sz w:val="24"/>
    </w:rPr>
  </w:style>
  <w:style w:type="paragraph" w:customStyle="1" w:styleId="Scheme11L2">
    <w:name w:val="Scheme11_L2"/>
    <w:basedOn w:val="Scheme11L1"/>
    <w:next w:val="BodyText"/>
    <w:rsid w:val="00C735BC"/>
    <w:pPr>
      <w:numPr>
        <w:ilvl w:val="1"/>
      </w:numPr>
      <w:outlineLvl w:val="1"/>
    </w:pPr>
    <w:rPr>
      <w:bCs/>
    </w:rPr>
  </w:style>
  <w:style w:type="paragraph" w:customStyle="1" w:styleId="Scheme11L3">
    <w:name w:val="Scheme11_L3"/>
    <w:basedOn w:val="Scheme11L2"/>
    <w:next w:val="BodyText"/>
    <w:rsid w:val="00C735BC"/>
    <w:pPr>
      <w:numPr>
        <w:ilvl w:val="2"/>
      </w:numPr>
      <w:outlineLvl w:val="2"/>
    </w:pPr>
  </w:style>
  <w:style w:type="paragraph" w:customStyle="1" w:styleId="Scheme11L4">
    <w:name w:val="Scheme11_L4"/>
    <w:basedOn w:val="Scheme11L3"/>
    <w:next w:val="BodyText"/>
    <w:rsid w:val="00C735BC"/>
    <w:pPr>
      <w:numPr>
        <w:ilvl w:val="3"/>
      </w:numPr>
      <w:outlineLvl w:val="3"/>
    </w:pPr>
  </w:style>
  <w:style w:type="paragraph" w:customStyle="1" w:styleId="Scheme11L5">
    <w:name w:val="Scheme11_L5"/>
    <w:basedOn w:val="Scheme11L4"/>
    <w:next w:val="BodyText"/>
    <w:rsid w:val="00C735BC"/>
    <w:pPr>
      <w:numPr>
        <w:ilvl w:val="4"/>
      </w:numPr>
      <w:outlineLvl w:val="4"/>
    </w:pPr>
  </w:style>
  <w:style w:type="paragraph" w:customStyle="1" w:styleId="Scheme11L6">
    <w:name w:val="Scheme11_L6"/>
    <w:basedOn w:val="Scheme11L5"/>
    <w:next w:val="BodyText"/>
    <w:rsid w:val="00C735BC"/>
    <w:pPr>
      <w:numPr>
        <w:ilvl w:val="5"/>
      </w:numPr>
      <w:jc w:val="left"/>
      <w:outlineLvl w:val="5"/>
    </w:pPr>
  </w:style>
  <w:style w:type="paragraph" w:customStyle="1" w:styleId="Scheme11L7">
    <w:name w:val="Scheme11_L7"/>
    <w:basedOn w:val="Scheme11L6"/>
    <w:next w:val="BodyText"/>
    <w:rsid w:val="00C735BC"/>
    <w:pPr>
      <w:numPr>
        <w:ilvl w:val="6"/>
      </w:numPr>
      <w:outlineLvl w:val="6"/>
    </w:pPr>
  </w:style>
  <w:style w:type="paragraph" w:customStyle="1" w:styleId="Scheme11L8">
    <w:name w:val="Scheme11_L8"/>
    <w:basedOn w:val="Scheme11L7"/>
    <w:next w:val="BodyText"/>
    <w:rsid w:val="00C735BC"/>
    <w:pPr>
      <w:numPr>
        <w:ilvl w:val="7"/>
      </w:numPr>
      <w:outlineLvl w:val="7"/>
    </w:pPr>
  </w:style>
  <w:style w:type="paragraph" w:customStyle="1" w:styleId="Scheme11L9">
    <w:name w:val="Scheme11_L9"/>
    <w:basedOn w:val="Scheme11L8"/>
    <w:next w:val="BodyText"/>
    <w:rsid w:val="00C735BC"/>
    <w:pPr>
      <w:numPr>
        <w:ilvl w:val="8"/>
      </w:numPr>
      <w:outlineLvl w:val="8"/>
    </w:pPr>
  </w:style>
  <w:style w:type="character" w:customStyle="1" w:styleId="DefinedTerm">
    <w:name w:val="Defined Term"/>
    <w:aliases w:val="df"/>
    <w:rsid w:val="00C735BC"/>
    <w:rPr>
      <w:b/>
      <w:bCs w:val="0"/>
    </w:rPr>
  </w:style>
  <w:style w:type="paragraph" w:customStyle="1" w:styleId="ExDStdProvsNormal">
    <w:name w:val="ExDStdProvsNormal"/>
    <w:rsid w:val="00F2146A"/>
    <w:pPr>
      <w:spacing w:after="0"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DC2C06"/>
    <w:rPr>
      <w:sz w:val="16"/>
      <w:szCs w:val="16"/>
    </w:rPr>
  </w:style>
  <w:style w:type="paragraph" w:styleId="CommentText">
    <w:name w:val="annotation text"/>
    <w:basedOn w:val="Normal"/>
    <w:link w:val="CommentTextChar"/>
    <w:uiPriority w:val="99"/>
    <w:unhideWhenUsed/>
    <w:rsid w:val="00DC2C06"/>
  </w:style>
  <w:style w:type="character" w:customStyle="1" w:styleId="CommentTextChar">
    <w:name w:val="Comment Text Char"/>
    <w:basedOn w:val="DefaultParagraphFont"/>
    <w:link w:val="CommentText"/>
    <w:uiPriority w:val="99"/>
    <w:rsid w:val="00DC2C06"/>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DC2C06"/>
    <w:rPr>
      <w:b/>
      <w:bCs/>
    </w:rPr>
  </w:style>
  <w:style w:type="character" w:customStyle="1" w:styleId="CommentSubjectChar">
    <w:name w:val="Comment Subject Char"/>
    <w:basedOn w:val="CommentTextChar"/>
    <w:link w:val="CommentSubject"/>
    <w:uiPriority w:val="99"/>
    <w:semiHidden/>
    <w:rsid w:val="00DC2C06"/>
    <w:rPr>
      <w:rFonts w:eastAsia="Times New Roman" w:cs="Times New Roman"/>
      <w:b/>
      <w:bCs/>
      <w:color w:val="auto"/>
      <w:szCs w:val="20"/>
    </w:rPr>
  </w:style>
  <w:style w:type="paragraph" w:styleId="Revision">
    <w:name w:val="Revision"/>
    <w:hidden/>
    <w:uiPriority w:val="99"/>
    <w:semiHidden/>
    <w:rsid w:val="00D87CC8"/>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6677">
      <w:bodyDiv w:val="1"/>
      <w:marLeft w:val="0"/>
      <w:marRight w:val="0"/>
      <w:marTop w:val="0"/>
      <w:marBottom w:val="0"/>
      <w:divBdr>
        <w:top w:val="none" w:sz="0" w:space="0" w:color="auto"/>
        <w:left w:val="none" w:sz="0" w:space="0" w:color="auto"/>
        <w:bottom w:val="none" w:sz="0" w:space="0" w:color="auto"/>
        <w:right w:val="none" w:sz="0" w:space="0" w:color="auto"/>
      </w:divBdr>
    </w:div>
    <w:div w:id="1343126036">
      <w:bodyDiv w:val="1"/>
      <w:marLeft w:val="0"/>
      <w:marRight w:val="0"/>
      <w:marTop w:val="0"/>
      <w:marBottom w:val="0"/>
      <w:divBdr>
        <w:top w:val="none" w:sz="0" w:space="0" w:color="auto"/>
        <w:left w:val="none" w:sz="0" w:space="0" w:color="auto"/>
        <w:bottom w:val="none" w:sz="0" w:space="0" w:color="auto"/>
        <w:right w:val="none" w:sz="0" w:space="0" w:color="auto"/>
      </w:divBdr>
    </w:div>
    <w:div w:id="179451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2583</Characters>
  <Application>Microsoft Office Word</Application>
  <DocSecurity>0</DocSecurity>
  <Lines>73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2023-05-10T17:58:00Z</dcterms:created>
  <dcterms:modified xsi:type="dcterms:W3CDTF">2023-06-02T16:07:00Z</dcterms:modified>
</cp:coreProperties>
</file>