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57A" w:rsidRDefault="00F42EEA" w:rsidP="005C6FCD">
      <w:pPr>
        <w:shd w:val="clear" w:color="auto" w:fill="FFFFFF"/>
        <w:jc w:val="center"/>
        <w:rPr>
          <w:b/>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3299460</wp:posOffset>
                </wp:positionH>
                <wp:positionV relativeFrom="paragraph">
                  <wp:posOffset>-175260</wp:posOffset>
                </wp:positionV>
                <wp:extent cx="2348865" cy="647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57A" w:rsidRPr="005A3782" w:rsidRDefault="00C6157A" w:rsidP="00C6157A">
                            <w:pPr>
                              <w:rPr>
                                <w:rFonts w:ascii="Arial" w:hAnsi="Arial" w:cs="Arial"/>
                                <w:b/>
                                <w:color w:val="00A6E2"/>
                              </w:rPr>
                            </w:pPr>
                            <w:r>
                              <w:rPr>
                                <w:rFonts w:ascii="Arial" w:hAnsi="Arial" w:cs="Arial"/>
                                <w:b/>
                                <w:color w:val="00A6E2"/>
                              </w:rPr>
                              <w:t>Guaranty Rider – TAH Express</w:t>
                            </w:r>
                            <w:r w:rsidRPr="005A3782">
                              <w:rPr>
                                <w:rFonts w:ascii="Arial" w:hAnsi="Arial" w:cs="Arial"/>
                                <w:b/>
                                <w:color w:val="00A6E2"/>
                              </w:rPr>
                              <w:t xml:space="preserve"> </w:t>
                            </w:r>
                          </w:p>
                          <w:p w:rsidR="00C6157A" w:rsidRDefault="00C6157A" w:rsidP="00C6157A">
                            <w:pPr>
                              <w:rPr>
                                <w:rFonts w:ascii="Arial" w:hAnsi="Arial" w:cs="Arial"/>
                                <w:b/>
                                <w:color w:val="00A6E2"/>
                              </w:rPr>
                            </w:pPr>
                            <w:r>
                              <w:rPr>
                                <w:rFonts w:ascii="Arial" w:hAnsi="Arial" w:cs="Arial"/>
                                <w:b/>
                                <w:color w:val="00A6E2"/>
                              </w:rPr>
                              <w:t>Material Adverse Change</w:t>
                            </w:r>
                          </w:p>
                          <w:p w:rsidR="00C6157A" w:rsidRPr="005A3782" w:rsidRDefault="00C6157A" w:rsidP="00C6157A">
                            <w:pPr>
                              <w:rPr>
                                <w:rFonts w:ascii="Arial" w:hAnsi="Arial" w:cs="Arial"/>
                                <w:b/>
                                <w:color w:val="00A6E2"/>
                              </w:rPr>
                            </w:pPr>
                            <w:r w:rsidRPr="005A3782">
                              <w:rPr>
                                <w:rFonts w:ascii="Arial" w:hAnsi="Arial" w:cs="Arial"/>
                                <w:b/>
                                <w:color w:val="00A6E2"/>
                              </w:rPr>
                              <w:t>(</w:t>
                            </w:r>
                            <w:r>
                              <w:rPr>
                                <w:rFonts w:ascii="Arial" w:hAnsi="Arial" w:cs="Arial"/>
                                <w:b/>
                                <w:color w:val="00A6E2"/>
                              </w:rPr>
                              <w:t xml:space="preserve">Revised </w:t>
                            </w:r>
                            <w:r w:rsidR="00601A8B">
                              <w:rPr>
                                <w:rFonts w:ascii="Arial" w:hAnsi="Arial" w:cs="Arial"/>
                                <w:b/>
                                <w:color w:val="00A6E2"/>
                              </w:rPr>
                              <w:t>05</w:t>
                            </w:r>
                            <w:r w:rsidRPr="005A3782">
                              <w:rPr>
                                <w:rFonts w:ascii="Arial" w:hAnsi="Arial" w:cs="Arial"/>
                                <w:b/>
                                <w:color w:val="00A6E2"/>
                              </w:rPr>
                              <w:t>-</w:t>
                            </w:r>
                            <w:r w:rsidR="00601A8B">
                              <w:rPr>
                                <w:rFonts w:ascii="Arial" w:hAnsi="Arial" w:cs="Arial"/>
                                <w:b/>
                                <w:color w:val="00A6E2"/>
                              </w:rPr>
                              <w:t>20</w:t>
                            </w:r>
                            <w:r w:rsidRPr="005A3782">
                              <w:rPr>
                                <w:rFonts w:ascii="Arial" w:hAnsi="Arial" w:cs="Arial"/>
                                <w:b/>
                                <w:color w:val="00A6E2"/>
                              </w:rPr>
                              <w:t>-201</w:t>
                            </w:r>
                            <w:r>
                              <w:rPr>
                                <w:rFonts w:ascii="Arial" w:hAnsi="Arial" w:cs="Arial"/>
                                <w:b/>
                                <w:color w:val="00A6E2"/>
                              </w:rPr>
                              <w:t>9</w:t>
                            </w:r>
                            <w:r w:rsidRPr="005A3782">
                              <w:rPr>
                                <w:rFonts w:ascii="Arial" w:hAnsi="Arial" w:cs="Arial"/>
                                <w:b/>
                                <w:color w:val="00A6E2"/>
                              </w:rPr>
                              <w:t>)</w:t>
                            </w:r>
                          </w:p>
                          <w:p w:rsidR="00C6157A" w:rsidRDefault="00C6157A" w:rsidP="00C615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9.8pt;margin-top:-13.8pt;width:184.9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LhhAIAAA8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" stroked="f">
                <v:textbox>
                  <w:txbxContent>
                    <w:p w:rsidR="00C6157A" w:rsidRPr="005A3782" w:rsidRDefault="00C6157A" w:rsidP="00C6157A">
                      <w:pPr>
                        <w:rPr>
                          <w:rFonts w:ascii="Arial" w:hAnsi="Arial" w:cs="Arial"/>
                          <w:b/>
                          <w:color w:val="00A6E2"/>
                        </w:rPr>
                      </w:pPr>
                      <w:r>
                        <w:rPr>
                          <w:rFonts w:ascii="Arial" w:hAnsi="Arial" w:cs="Arial"/>
                          <w:b/>
                          <w:color w:val="00A6E2"/>
                        </w:rPr>
                        <w:t>Guaranty Rider – TAH Express</w:t>
                      </w:r>
                      <w:r w:rsidRPr="005A3782">
                        <w:rPr>
                          <w:rFonts w:ascii="Arial" w:hAnsi="Arial" w:cs="Arial"/>
                          <w:b/>
                          <w:color w:val="00A6E2"/>
                        </w:rPr>
                        <w:t xml:space="preserve"> </w:t>
                      </w:r>
                    </w:p>
                    <w:p w:rsidR="00C6157A" w:rsidRDefault="00C6157A" w:rsidP="00C6157A">
                      <w:pPr>
                        <w:rPr>
                          <w:rFonts w:ascii="Arial" w:hAnsi="Arial" w:cs="Arial"/>
                          <w:b/>
                          <w:color w:val="00A6E2"/>
                        </w:rPr>
                      </w:pPr>
                      <w:r>
                        <w:rPr>
                          <w:rFonts w:ascii="Arial" w:hAnsi="Arial" w:cs="Arial"/>
                          <w:b/>
                          <w:color w:val="00A6E2"/>
                        </w:rPr>
                        <w:t>Material Adverse Change</w:t>
                      </w:r>
                    </w:p>
                    <w:p w:rsidR="00C6157A" w:rsidRPr="005A3782" w:rsidRDefault="00C6157A" w:rsidP="00C6157A">
                      <w:pPr>
                        <w:rPr>
                          <w:rFonts w:ascii="Arial" w:hAnsi="Arial" w:cs="Arial"/>
                          <w:b/>
                          <w:color w:val="00A6E2"/>
                        </w:rPr>
                      </w:pPr>
                      <w:r w:rsidRPr="005A3782">
                        <w:rPr>
                          <w:rFonts w:ascii="Arial" w:hAnsi="Arial" w:cs="Arial"/>
                          <w:b/>
                          <w:color w:val="00A6E2"/>
                        </w:rPr>
                        <w:t>(</w:t>
                      </w:r>
                      <w:r>
                        <w:rPr>
                          <w:rFonts w:ascii="Arial" w:hAnsi="Arial" w:cs="Arial"/>
                          <w:b/>
                          <w:color w:val="00A6E2"/>
                        </w:rPr>
                        <w:t xml:space="preserve">Revised </w:t>
                      </w:r>
                      <w:r w:rsidR="00601A8B">
                        <w:rPr>
                          <w:rFonts w:ascii="Arial" w:hAnsi="Arial" w:cs="Arial"/>
                          <w:b/>
                          <w:color w:val="00A6E2"/>
                        </w:rPr>
                        <w:t>05</w:t>
                      </w:r>
                      <w:r w:rsidRPr="005A3782">
                        <w:rPr>
                          <w:rFonts w:ascii="Arial" w:hAnsi="Arial" w:cs="Arial"/>
                          <w:b/>
                          <w:color w:val="00A6E2"/>
                        </w:rPr>
                        <w:t>-</w:t>
                      </w:r>
                      <w:r w:rsidR="00601A8B">
                        <w:rPr>
                          <w:rFonts w:ascii="Arial" w:hAnsi="Arial" w:cs="Arial"/>
                          <w:b/>
                          <w:color w:val="00A6E2"/>
                        </w:rPr>
                        <w:t>20</w:t>
                      </w:r>
                      <w:r w:rsidRPr="005A3782">
                        <w:rPr>
                          <w:rFonts w:ascii="Arial" w:hAnsi="Arial" w:cs="Arial"/>
                          <w:b/>
                          <w:color w:val="00A6E2"/>
                        </w:rPr>
                        <w:t>-201</w:t>
                      </w:r>
                      <w:r>
                        <w:rPr>
                          <w:rFonts w:ascii="Arial" w:hAnsi="Arial" w:cs="Arial"/>
                          <w:b/>
                          <w:color w:val="00A6E2"/>
                        </w:rPr>
                        <w:t>9</w:t>
                      </w:r>
                      <w:r w:rsidRPr="005A3782">
                        <w:rPr>
                          <w:rFonts w:ascii="Arial" w:hAnsi="Arial" w:cs="Arial"/>
                          <w:b/>
                          <w:color w:val="00A6E2"/>
                        </w:rPr>
                        <w:t>)</w:t>
                      </w:r>
                    </w:p>
                    <w:p w:rsidR="00C6157A" w:rsidRDefault="00C6157A" w:rsidP="00C6157A"/>
                  </w:txbxContent>
                </v:textbox>
              </v:shape>
            </w:pict>
          </mc:Fallback>
        </mc:AlternateContent>
      </w:r>
      <w:r>
        <w:rPr>
          <w:b/>
          <w:noProof/>
          <w:sz w:val="24"/>
          <w:szCs w:val="24"/>
        </w:rPr>
        <w:drawing>
          <wp:anchor distT="0" distB="0" distL="114300" distR="114300" simplePos="0" relativeHeight="251657216" behindDoc="1" locked="0" layoutInCell="1" allowOverlap="1">
            <wp:simplePos x="0" y="0"/>
            <wp:positionH relativeFrom="column">
              <wp:posOffset>-238125</wp:posOffset>
            </wp:positionH>
            <wp:positionV relativeFrom="paragraph">
              <wp:posOffset>-559435</wp:posOffset>
            </wp:positionV>
            <wp:extent cx="1828800" cy="638175"/>
            <wp:effectExtent l="0" t="0" r="0" b="0"/>
            <wp:wrapTight wrapText="bothSides">
              <wp:wrapPolygon edited="0">
                <wp:start x="0" y="0"/>
                <wp:lineTo x="0" y="21278"/>
                <wp:lineTo x="21375" y="21278"/>
                <wp:lineTo x="21375" y="0"/>
                <wp:lineTo x="0" y="0"/>
              </wp:wrapPolygon>
            </wp:wrapTight>
            <wp:docPr id="2" name="Picture 2" descr="fm_mf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_mf_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57A" w:rsidRDefault="00C6157A" w:rsidP="005C6FCD">
      <w:pPr>
        <w:shd w:val="clear" w:color="auto" w:fill="FFFFFF"/>
        <w:jc w:val="center"/>
        <w:rPr>
          <w:b/>
          <w:sz w:val="24"/>
          <w:szCs w:val="24"/>
        </w:rPr>
      </w:pPr>
    </w:p>
    <w:p w:rsidR="00A51AB6" w:rsidRDefault="00A51AB6" w:rsidP="005C6FCD">
      <w:pPr>
        <w:shd w:val="clear" w:color="auto" w:fill="FFFFFF"/>
        <w:rPr>
          <w:sz w:val="24"/>
          <w:szCs w:val="24"/>
        </w:rPr>
      </w:pPr>
    </w:p>
    <w:p w:rsidR="00601A8B" w:rsidRDefault="00601A8B" w:rsidP="005C6FCD">
      <w:pPr>
        <w:shd w:val="clear" w:color="auto" w:fill="FFFFFF"/>
        <w:rPr>
          <w:rFonts w:ascii="Arial" w:hAnsi="Arial" w:cs="Arial"/>
        </w:rPr>
      </w:pPr>
    </w:p>
    <w:p w:rsidR="00601A8B" w:rsidRDefault="00601A8B" w:rsidP="005C6FCD">
      <w:pPr>
        <w:shd w:val="clear" w:color="auto" w:fill="FFFFFF"/>
        <w:rPr>
          <w:rFonts w:ascii="Arial" w:hAnsi="Arial" w:cs="Arial"/>
        </w:rPr>
      </w:pPr>
    </w:p>
    <w:p w:rsidR="00A51AB6" w:rsidRPr="00957CC9" w:rsidRDefault="00A51AB6" w:rsidP="005C6FCD">
      <w:pPr>
        <w:shd w:val="clear" w:color="auto" w:fill="FFFFFF"/>
        <w:rPr>
          <w:rFonts w:ascii="Arial" w:hAnsi="Arial" w:cs="Arial"/>
        </w:rPr>
      </w:pPr>
      <w:r w:rsidRPr="00957CC9">
        <w:rPr>
          <w:rFonts w:ascii="Arial" w:hAnsi="Arial" w:cs="Arial"/>
        </w:rPr>
        <w:t xml:space="preserve">The following </w:t>
      </w:r>
      <w:r w:rsidR="007F483B" w:rsidRPr="00957CC9">
        <w:rPr>
          <w:rFonts w:ascii="Arial" w:hAnsi="Arial" w:cs="Arial"/>
        </w:rPr>
        <w:t xml:space="preserve">changes are made </w:t>
      </w:r>
      <w:r w:rsidRPr="00957CC9">
        <w:rPr>
          <w:rFonts w:ascii="Arial" w:hAnsi="Arial" w:cs="Arial"/>
        </w:rPr>
        <w:t>to th</w:t>
      </w:r>
      <w:r w:rsidR="00F25066" w:rsidRPr="00957CC9">
        <w:rPr>
          <w:rFonts w:ascii="Arial" w:hAnsi="Arial" w:cs="Arial"/>
        </w:rPr>
        <w:t>e</w:t>
      </w:r>
      <w:r w:rsidRPr="00957CC9">
        <w:rPr>
          <w:rFonts w:ascii="Arial" w:hAnsi="Arial" w:cs="Arial"/>
        </w:rPr>
        <w:t xml:space="preserve"> Guaranty</w:t>
      </w:r>
      <w:r w:rsidR="00F25066" w:rsidRPr="00957CC9">
        <w:rPr>
          <w:rFonts w:ascii="Arial" w:hAnsi="Arial" w:cs="Arial"/>
        </w:rPr>
        <w:t xml:space="preserve"> </w:t>
      </w:r>
      <w:r w:rsidR="00E205D8" w:rsidRPr="00957CC9">
        <w:rPr>
          <w:rFonts w:ascii="Arial" w:hAnsi="Arial" w:cs="Arial"/>
        </w:rPr>
        <w:t>which</w:t>
      </w:r>
      <w:r w:rsidR="00F25066" w:rsidRPr="00957CC9">
        <w:rPr>
          <w:rFonts w:ascii="Arial" w:hAnsi="Arial" w:cs="Arial"/>
        </w:rPr>
        <w:t xml:space="preserve"> precedes this Rider</w:t>
      </w:r>
      <w:r w:rsidRPr="00957CC9">
        <w:rPr>
          <w:rFonts w:ascii="Arial" w:hAnsi="Arial" w:cs="Arial"/>
        </w:rPr>
        <w:t>:</w:t>
      </w:r>
    </w:p>
    <w:p w:rsidR="00AC3D6C" w:rsidRPr="00957CC9" w:rsidRDefault="00AC3D6C" w:rsidP="005C6FCD">
      <w:pPr>
        <w:shd w:val="clear" w:color="auto" w:fill="FFFFFF"/>
        <w:rPr>
          <w:rFonts w:ascii="Arial" w:hAnsi="Arial" w:cs="Arial"/>
        </w:rPr>
      </w:pPr>
    </w:p>
    <w:p w:rsidR="007F483B" w:rsidRPr="00957CC9" w:rsidRDefault="00EC2497" w:rsidP="005C6FCD">
      <w:pPr>
        <w:shd w:val="clear" w:color="auto" w:fill="FFFFFF"/>
        <w:rPr>
          <w:rFonts w:ascii="Arial" w:hAnsi="Arial" w:cs="Arial"/>
        </w:rPr>
      </w:pPr>
      <w:r w:rsidRPr="00957CC9">
        <w:rPr>
          <w:rFonts w:ascii="Arial" w:hAnsi="Arial" w:cs="Arial"/>
        </w:rPr>
        <w:t>A.</w:t>
      </w:r>
      <w:r w:rsidRPr="00957CC9">
        <w:rPr>
          <w:rFonts w:ascii="Arial" w:hAnsi="Arial" w:cs="Arial"/>
        </w:rPr>
        <w:tab/>
      </w:r>
      <w:r w:rsidR="004A102F" w:rsidRPr="00957CC9">
        <w:rPr>
          <w:rFonts w:ascii="Arial" w:hAnsi="Arial" w:cs="Arial"/>
        </w:rPr>
        <w:t xml:space="preserve">Section </w:t>
      </w:r>
      <w:r w:rsidR="009E2E04">
        <w:rPr>
          <w:rFonts w:ascii="Arial" w:hAnsi="Arial" w:cs="Arial"/>
        </w:rPr>
        <w:t>2</w:t>
      </w:r>
      <w:r w:rsidR="00DB3C4D">
        <w:rPr>
          <w:rFonts w:ascii="Arial" w:hAnsi="Arial" w:cs="Arial"/>
        </w:rPr>
        <w:t>5</w:t>
      </w:r>
      <w:r w:rsidR="00E71AC7" w:rsidRPr="00957CC9">
        <w:rPr>
          <w:rFonts w:ascii="Arial" w:hAnsi="Arial" w:cs="Arial"/>
        </w:rPr>
        <w:t xml:space="preserve"> </w:t>
      </w:r>
      <w:r w:rsidR="00CF59E5" w:rsidRPr="00957CC9">
        <w:rPr>
          <w:rFonts w:ascii="Arial" w:hAnsi="Arial" w:cs="Arial"/>
        </w:rPr>
        <w:t>is deleted and replaced with the following:</w:t>
      </w:r>
    </w:p>
    <w:p w:rsidR="007F483B" w:rsidRPr="00957CC9" w:rsidRDefault="007F483B" w:rsidP="005C6FCD">
      <w:pPr>
        <w:shd w:val="clear" w:color="auto" w:fill="FFFFFF"/>
        <w:rPr>
          <w:rFonts w:ascii="Arial" w:hAnsi="Arial" w:cs="Arial"/>
        </w:rPr>
      </w:pPr>
    </w:p>
    <w:p w:rsidR="00AC3D6C" w:rsidRPr="00957CC9" w:rsidRDefault="004A102F" w:rsidP="005C6FCD">
      <w:pPr>
        <w:shd w:val="clear" w:color="auto" w:fill="FFFFFF"/>
        <w:ind w:left="720"/>
        <w:rPr>
          <w:rFonts w:ascii="Arial" w:hAnsi="Arial" w:cs="Arial"/>
          <w:b/>
        </w:rPr>
      </w:pPr>
      <w:r w:rsidRPr="00957CC9">
        <w:rPr>
          <w:rFonts w:ascii="Arial" w:hAnsi="Arial" w:cs="Arial"/>
          <w:b/>
        </w:rPr>
        <w:t>2</w:t>
      </w:r>
      <w:r w:rsidR="00DB3C4D">
        <w:rPr>
          <w:rFonts w:ascii="Arial" w:hAnsi="Arial" w:cs="Arial"/>
          <w:b/>
        </w:rPr>
        <w:t>5</w:t>
      </w:r>
      <w:r w:rsidR="00E71AC7" w:rsidRPr="00957CC9">
        <w:rPr>
          <w:rFonts w:ascii="Arial" w:hAnsi="Arial" w:cs="Arial"/>
          <w:b/>
        </w:rPr>
        <w:t>.</w:t>
      </w:r>
      <w:r w:rsidR="00E71AC7" w:rsidRPr="00957CC9">
        <w:rPr>
          <w:rFonts w:ascii="Arial" w:hAnsi="Arial" w:cs="Arial"/>
          <w:b/>
        </w:rPr>
        <w:tab/>
      </w:r>
      <w:r w:rsidR="00AC3D6C" w:rsidRPr="00957CC9">
        <w:rPr>
          <w:rFonts w:ascii="Arial" w:hAnsi="Arial" w:cs="Arial"/>
          <w:b/>
        </w:rPr>
        <w:t>Material Adverse Change.</w:t>
      </w:r>
    </w:p>
    <w:p w:rsidR="00AC3D6C" w:rsidRPr="00957CC9" w:rsidRDefault="00AC3D6C" w:rsidP="005C6FCD">
      <w:pPr>
        <w:shd w:val="clear" w:color="auto" w:fill="FFFFFF"/>
        <w:rPr>
          <w:rFonts w:ascii="Arial" w:hAnsi="Arial" w:cs="Arial"/>
        </w:rPr>
      </w:pPr>
    </w:p>
    <w:p w:rsidR="000463EF" w:rsidRPr="00957CC9" w:rsidRDefault="00AC3D6C" w:rsidP="00DB3C4D">
      <w:pPr>
        <w:pStyle w:val="ExDStdProvsNormal"/>
        <w:ind w:left="2160" w:hanging="720"/>
        <w:jc w:val="both"/>
        <w:rPr>
          <w:rFonts w:ascii="Arial" w:hAnsi="Arial" w:cs="Arial"/>
          <w:sz w:val="20"/>
          <w:szCs w:val="20"/>
        </w:rPr>
      </w:pPr>
      <w:r w:rsidRPr="00957CC9">
        <w:rPr>
          <w:rFonts w:ascii="Arial" w:hAnsi="Arial" w:cs="Arial"/>
          <w:sz w:val="20"/>
          <w:szCs w:val="20"/>
        </w:rPr>
        <w:t>(a)</w:t>
      </w:r>
      <w:r w:rsidR="00E835CF" w:rsidRPr="00957CC9">
        <w:rPr>
          <w:rFonts w:ascii="Arial" w:hAnsi="Arial" w:cs="Arial"/>
          <w:sz w:val="20"/>
          <w:szCs w:val="20"/>
        </w:rPr>
        <w:tab/>
      </w:r>
      <w:r w:rsidR="0066239F" w:rsidRPr="00957CC9">
        <w:rPr>
          <w:rFonts w:ascii="Arial" w:hAnsi="Arial" w:cs="Arial"/>
          <w:sz w:val="20"/>
          <w:szCs w:val="20"/>
        </w:rPr>
        <w:t>If</w:t>
      </w:r>
      <w:r w:rsidR="00F56B45" w:rsidRPr="00957CC9">
        <w:rPr>
          <w:rFonts w:ascii="Arial" w:hAnsi="Arial" w:cs="Arial"/>
          <w:sz w:val="20"/>
          <w:szCs w:val="20"/>
        </w:rPr>
        <w:t xml:space="preserve"> Guarantor receives Notice from Lender of Lender</w:t>
      </w:r>
      <w:r w:rsidR="00B9217D" w:rsidRPr="00957CC9">
        <w:rPr>
          <w:rFonts w:ascii="Arial" w:hAnsi="Arial" w:cs="Arial"/>
          <w:sz w:val="20"/>
          <w:szCs w:val="20"/>
        </w:rPr>
        <w:t>’</w:t>
      </w:r>
      <w:r w:rsidR="00F56B45" w:rsidRPr="00957CC9">
        <w:rPr>
          <w:rFonts w:ascii="Arial" w:hAnsi="Arial" w:cs="Arial"/>
          <w:sz w:val="20"/>
          <w:szCs w:val="20"/>
        </w:rPr>
        <w:t xml:space="preserve">s determination, </w:t>
      </w:r>
      <w:r w:rsidR="00F56B45" w:rsidRPr="00957CC9">
        <w:rPr>
          <w:rFonts w:ascii="Arial" w:hAnsi="Arial" w:cs="Arial"/>
          <w:color w:val="000000"/>
          <w:sz w:val="20"/>
          <w:szCs w:val="20"/>
        </w:rPr>
        <w:t>in Lender</w:t>
      </w:r>
      <w:r w:rsidR="00B9217D" w:rsidRPr="00957CC9">
        <w:rPr>
          <w:rFonts w:ascii="Arial" w:hAnsi="Arial" w:cs="Arial"/>
          <w:color w:val="000000"/>
          <w:sz w:val="20"/>
          <w:szCs w:val="20"/>
        </w:rPr>
        <w:t>’</w:t>
      </w:r>
      <w:r w:rsidR="00F56B45" w:rsidRPr="00957CC9">
        <w:rPr>
          <w:rFonts w:ascii="Arial" w:hAnsi="Arial" w:cs="Arial"/>
          <w:color w:val="000000"/>
          <w:sz w:val="20"/>
          <w:szCs w:val="20"/>
        </w:rPr>
        <w:t xml:space="preserve">s </w:t>
      </w:r>
      <w:r w:rsidR="00350519" w:rsidRPr="00957CC9">
        <w:rPr>
          <w:rFonts w:ascii="Arial" w:hAnsi="Arial" w:cs="Arial"/>
          <w:color w:val="000000"/>
          <w:sz w:val="20"/>
          <w:szCs w:val="20"/>
        </w:rPr>
        <w:t xml:space="preserve">sole </w:t>
      </w:r>
      <w:r w:rsidR="00F56B45" w:rsidRPr="00957CC9">
        <w:rPr>
          <w:rFonts w:ascii="Arial" w:hAnsi="Arial" w:cs="Arial"/>
          <w:color w:val="000000"/>
          <w:sz w:val="20"/>
          <w:szCs w:val="20"/>
        </w:rPr>
        <w:t>discretion</w:t>
      </w:r>
      <w:r w:rsidR="0066239F" w:rsidRPr="00957CC9">
        <w:rPr>
          <w:rFonts w:ascii="Arial" w:hAnsi="Arial" w:cs="Arial"/>
          <w:color w:val="000000"/>
          <w:sz w:val="20"/>
          <w:szCs w:val="20"/>
        </w:rPr>
        <w:t>,</w:t>
      </w:r>
      <w:r w:rsidR="00F56B45" w:rsidRPr="00957CC9">
        <w:rPr>
          <w:rFonts w:ascii="Arial" w:hAnsi="Arial" w:cs="Arial"/>
          <w:color w:val="000000"/>
          <w:sz w:val="20"/>
          <w:szCs w:val="20"/>
        </w:rPr>
        <w:t xml:space="preserve"> </w:t>
      </w:r>
      <w:r w:rsidR="00F56B45" w:rsidRPr="00957CC9">
        <w:rPr>
          <w:rFonts w:ascii="Arial" w:hAnsi="Arial" w:cs="Arial"/>
          <w:sz w:val="20"/>
          <w:szCs w:val="20"/>
        </w:rPr>
        <w:t xml:space="preserve">that there has been a Material Adverse Change (as defined below), </w:t>
      </w:r>
      <w:r w:rsidR="0066239F" w:rsidRPr="00957CC9">
        <w:rPr>
          <w:rFonts w:ascii="Arial" w:hAnsi="Arial" w:cs="Arial"/>
          <w:sz w:val="20"/>
          <w:szCs w:val="20"/>
        </w:rPr>
        <w:t xml:space="preserve">then </w:t>
      </w:r>
      <w:r w:rsidR="00F56B45" w:rsidRPr="00957CC9">
        <w:rPr>
          <w:rFonts w:ascii="Arial" w:hAnsi="Arial" w:cs="Arial"/>
          <w:sz w:val="20"/>
          <w:szCs w:val="20"/>
        </w:rPr>
        <w:t xml:space="preserve">within </w:t>
      </w:r>
      <w:r w:rsidR="00350519" w:rsidRPr="00957CC9">
        <w:rPr>
          <w:rFonts w:ascii="Arial" w:hAnsi="Arial" w:cs="Arial"/>
          <w:sz w:val="20"/>
          <w:szCs w:val="20"/>
        </w:rPr>
        <w:t>15</w:t>
      </w:r>
      <w:r w:rsidR="00477AFD" w:rsidRPr="00957CC9">
        <w:rPr>
          <w:rFonts w:ascii="Arial" w:hAnsi="Arial" w:cs="Arial"/>
          <w:sz w:val="20"/>
          <w:szCs w:val="20"/>
        </w:rPr>
        <w:t> </w:t>
      </w:r>
      <w:r w:rsidR="00F56B45" w:rsidRPr="00957CC9">
        <w:rPr>
          <w:rFonts w:ascii="Arial" w:hAnsi="Arial" w:cs="Arial"/>
          <w:sz w:val="20"/>
          <w:szCs w:val="20"/>
        </w:rPr>
        <w:t xml:space="preserve">days of receipt of </w:t>
      </w:r>
      <w:r w:rsidR="00350519" w:rsidRPr="00957CC9">
        <w:rPr>
          <w:rFonts w:ascii="Arial" w:hAnsi="Arial" w:cs="Arial"/>
          <w:sz w:val="20"/>
          <w:szCs w:val="20"/>
        </w:rPr>
        <w:t>the</w:t>
      </w:r>
      <w:r w:rsidR="00F56B45" w:rsidRPr="00957CC9">
        <w:rPr>
          <w:rFonts w:ascii="Arial" w:hAnsi="Arial" w:cs="Arial"/>
          <w:sz w:val="20"/>
          <w:szCs w:val="20"/>
        </w:rPr>
        <w:t xml:space="preserve"> Notice, Guarantor </w:t>
      </w:r>
      <w:r w:rsidR="0066239F" w:rsidRPr="00957CC9">
        <w:rPr>
          <w:rFonts w:ascii="Arial" w:hAnsi="Arial" w:cs="Arial"/>
          <w:sz w:val="20"/>
          <w:szCs w:val="20"/>
        </w:rPr>
        <w:t>must</w:t>
      </w:r>
      <w:r w:rsidR="00D94628" w:rsidRPr="00957CC9">
        <w:rPr>
          <w:rFonts w:ascii="Arial" w:hAnsi="Arial" w:cs="Arial"/>
          <w:sz w:val="20"/>
          <w:szCs w:val="20"/>
        </w:rPr>
        <w:t xml:space="preserve"> </w:t>
      </w:r>
      <w:r w:rsidR="00350519" w:rsidRPr="00957CC9">
        <w:rPr>
          <w:rFonts w:ascii="Arial" w:hAnsi="Arial" w:cs="Arial"/>
          <w:sz w:val="20"/>
          <w:szCs w:val="20"/>
        </w:rPr>
        <w:t>supply Lender with a written certification (“</w:t>
      </w:r>
      <w:r w:rsidR="00350519" w:rsidRPr="00957CC9">
        <w:rPr>
          <w:rFonts w:ascii="Arial" w:hAnsi="Arial" w:cs="Arial"/>
          <w:b/>
          <w:sz w:val="20"/>
          <w:szCs w:val="20"/>
        </w:rPr>
        <w:t>Guarantor Certification</w:t>
      </w:r>
      <w:r w:rsidR="00350519" w:rsidRPr="00957CC9">
        <w:rPr>
          <w:rFonts w:ascii="Arial" w:hAnsi="Arial" w:cs="Arial"/>
          <w:sz w:val="20"/>
          <w:szCs w:val="20"/>
        </w:rPr>
        <w:t>”) of the then</w:t>
      </w:r>
      <w:r w:rsidR="00CC3F23" w:rsidRPr="00957CC9">
        <w:rPr>
          <w:rFonts w:ascii="Arial" w:hAnsi="Arial" w:cs="Arial"/>
          <w:sz w:val="20"/>
          <w:szCs w:val="20"/>
        </w:rPr>
        <w:t>-</w:t>
      </w:r>
      <w:r w:rsidR="00350519" w:rsidRPr="00957CC9">
        <w:rPr>
          <w:rFonts w:ascii="Arial" w:hAnsi="Arial" w:cs="Arial"/>
          <w:sz w:val="20"/>
          <w:szCs w:val="20"/>
        </w:rPr>
        <w:t>current net worth and liquid assets of Guarantor, derived in accordance with customarily acceptable accounting practices. The Guarantor must certify the Guarantor Certification under penalty of perjury as true and complete.</w:t>
      </w:r>
    </w:p>
    <w:p w:rsidR="00350519" w:rsidRPr="00957CC9" w:rsidRDefault="00350519" w:rsidP="005C6FCD">
      <w:pPr>
        <w:pStyle w:val="ExDStdProvsNormal"/>
        <w:ind w:left="2160" w:hanging="720"/>
        <w:rPr>
          <w:rFonts w:ascii="Arial" w:hAnsi="Arial" w:cs="Arial"/>
          <w:sz w:val="20"/>
          <w:szCs w:val="20"/>
        </w:rPr>
      </w:pPr>
    </w:p>
    <w:p w:rsidR="00350519" w:rsidRPr="00957CC9" w:rsidRDefault="00143FB7" w:rsidP="00E71AC7">
      <w:pPr>
        <w:pStyle w:val="ExDStdProvsNormal"/>
        <w:ind w:left="1440"/>
        <w:rPr>
          <w:rFonts w:ascii="Arial" w:hAnsi="Arial" w:cs="Arial"/>
          <w:sz w:val="20"/>
          <w:szCs w:val="20"/>
        </w:rPr>
      </w:pPr>
      <w:r w:rsidRPr="00957CC9">
        <w:rPr>
          <w:rFonts w:ascii="Arial" w:hAnsi="Arial" w:cs="Arial"/>
          <w:sz w:val="20"/>
          <w:szCs w:val="20"/>
        </w:rPr>
        <w:t>(b)</w:t>
      </w:r>
      <w:r w:rsidR="00350519" w:rsidRPr="00957CC9">
        <w:rPr>
          <w:rFonts w:ascii="Arial" w:hAnsi="Arial" w:cs="Arial"/>
          <w:sz w:val="20"/>
          <w:szCs w:val="20"/>
        </w:rPr>
        <w:tab/>
        <w:t xml:space="preserve">Within </w:t>
      </w:r>
      <w:r w:rsidR="00CC3F23" w:rsidRPr="00957CC9">
        <w:rPr>
          <w:rFonts w:ascii="Arial" w:hAnsi="Arial" w:cs="Arial"/>
          <w:sz w:val="20"/>
          <w:szCs w:val="20"/>
        </w:rPr>
        <w:t>30</w:t>
      </w:r>
      <w:r w:rsidR="00477AFD" w:rsidRPr="00957CC9">
        <w:rPr>
          <w:rFonts w:ascii="Arial" w:hAnsi="Arial" w:cs="Arial"/>
          <w:sz w:val="20"/>
          <w:szCs w:val="20"/>
        </w:rPr>
        <w:t> </w:t>
      </w:r>
      <w:r w:rsidR="00350519" w:rsidRPr="00957CC9">
        <w:rPr>
          <w:rFonts w:ascii="Arial" w:hAnsi="Arial" w:cs="Arial"/>
          <w:sz w:val="20"/>
          <w:szCs w:val="20"/>
        </w:rPr>
        <w:t>days of receipt of the Notice, Guarantor must either:</w:t>
      </w:r>
    </w:p>
    <w:p w:rsidR="000463EF" w:rsidRPr="00957CC9" w:rsidRDefault="000463EF" w:rsidP="005C6FCD">
      <w:pPr>
        <w:pStyle w:val="ExDStdProvsNormal"/>
        <w:ind w:left="2160" w:hanging="720"/>
        <w:rPr>
          <w:rFonts w:ascii="Arial" w:hAnsi="Arial" w:cs="Arial"/>
          <w:sz w:val="20"/>
          <w:szCs w:val="20"/>
        </w:rPr>
      </w:pPr>
    </w:p>
    <w:p w:rsidR="000463EF" w:rsidRPr="00957CC9" w:rsidRDefault="00AC3D6C" w:rsidP="00DB3C4D">
      <w:pPr>
        <w:pStyle w:val="ExDStdProvsNormal"/>
        <w:ind w:left="2880" w:hanging="720"/>
        <w:jc w:val="both"/>
        <w:rPr>
          <w:rFonts w:ascii="Arial" w:hAnsi="Arial" w:cs="Arial"/>
          <w:sz w:val="20"/>
          <w:szCs w:val="20"/>
        </w:rPr>
      </w:pPr>
      <w:r w:rsidRPr="00957CC9">
        <w:rPr>
          <w:rFonts w:ascii="Arial" w:hAnsi="Arial" w:cs="Arial"/>
          <w:sz w:val="20"/>
          <w:szCs w:val="20"/>
        </w:rPr>
        <w:t>(i)</w:t>
      </w:r>
      <w:r w:rsidR="000463EF" w:rsidRPr="00957CC9">
        <w:rPr>
          <w:rFonts w:ascii="Arial" w:hAnsi="Arial" w:cs="Arial"/>
          <w:sz w:val="20"/>
          <w:szCs w:val="20"/>
        </w:rPr>
        <w:tab/>
        <w:t xml:space="preserve">cause one or more natural persons or entities who individually or collectively, as applicable, is/are acceptable to Lender, in its sole discretion, to execute and deliver to Lender a guaranty in </w:t>
      </w:r>
      <w:r w:rsidR="004E6B06" w:rsidRPr="00957CC9">
        <w:rPr>
          <w:rFonts w:ascii="Arial" w:hAnsi="Arial" w:cs="Arial"/>
          <w:sz w:val="20"/>
          <w:szCs w:val="20"/>
        </w:rPr>
        <w:t xml:space="preserve">the same form as this Guaranty, </w:t>
      </w:r>
      <w:r w:rsidR="000463EF" w:rsidRPr="00957CC9">
        <w:rPr>
          <w:rFonts w:ascii="Arial" w:hAnsi="Arial" w:cs="Arial"/>
          <w:sz w:val="20"/>
          <w:szCs w:val="20"/>
        </w:rPr>
        <w:t>without any cost or expense to Lender; or</w:t>
      </w:r>
    </w:p>
    <w:p w:rsidR="000463EF" w:rsidRPr="00957CC9" w:rsidRDefault="000463EF" w:rsidP="00EE7EEC">
      <w:pPr>
        <w:pStyle w:val="ExDStdProvsNormal"/>
        <w:ind w:left="2160" w:hanging="720"/>
        <w:rPr>
          <w:rFonts w:ascii="Arial" w:hAnsi="Arial" w:cs="Arial"/>
          <w:sz w:val="20"/>
          <w:szCs w:val="20"/>
        </w:rPr>
      </w:pPr>
    </w:p>
    <w:p w:rsidR="000463EF" w:rsidRPr="00957CC9" w:rsidRDefault="000463EF" w:rsidP="00DB3C4D">
      <w:pPr>
        <w:pStyle w:val="ExDStdProvsNormal"/>
        <w:ind w:left="2880" w:hanging="720"/>
        <w:jc w:val="both"/>
        <w:rPr>
          <w:rFonts w:ascii="Arial" w:hAnsi="Arial" w:cs="Arial"/>
          <w:sz w:val="20"/>
          <w:szCs w:val="20"/>
        </w:rPr>
      </w:pPr>
      <w:r w:rsidRPr="00957CC9">
        <w:rPr>
          <w:rFonts w:ascii="Arial" w:hAnsi="Arial" w:cs="Arial"/>
          <w:sz w:val="20"/>
          <w:szCs w:val="20"/>
        </w:rPr>
        <w:t>(ii)</w:t>
      </w:r>
      <w:r w:rsidRPr="00957CC9">
        <w:rPr>
          <w:rFonts w:ascii="Arial" w:hAnsi="Arial" w:cs="Arial"/>
          <w:sz w:val="20"/>
          <w:szCs w:val="20"/>
        </w:rPr>
        <w:tab/>
        <w:t>deliver to Lender a letter of credit or other collateral acceptable to Lender</w:t>
      </w:r>
      <w:r w:rsidR="0066239F" w:rsidRPr="00957CC9">
        <w:rPr>
          <w:rFonts w:ascii="Arial" w:hAnsi="Arial" w:cs="Arial"/>
          <w:sz w:val="20"/>
          <w:szCs w:val="20"/>
        </w:rPr>
        <w:t>,</w:t>
      </w:r>
      <w:r w:rsidRPr="00957CC9">
        <w:rPr>
          <w:rFonts w:ascii="Arial" w:hAnsi="Arial" w:cs="Arial"/>
          <w:sz w:val="20"/>
          <w:szCs w:val="20"/>
        </w:rPr>
        <w:t xml:space="preserve"> in its discretion</w:t>
      </w:r>
      <w:r w:rsidR="0066239F" w:rsidRPr="00957CC9">
        <w:rPr>
          <w:rFonts w:ascii="Arial" w:hAnsi="Arial" w:cs="Arial"/>
          <w:sz w:val="20"/>
          <w:szCs w:val="20"/>
        </w:rPr>
        <w:t>,</w:t>
      </w:r>
      <w:r w:rsidRPr="00957CC9">
        <w:rPr>
          <w:rFonts w:ascii="Arial" w:hAnsi="Arial" w:cs="Arial"/>
          <w:sz w:val="20"/>
          <w:szCs w:val="20"/>
        </w:rPr>
        <w:t xml:space="preserve"> meeting the following conditions, as applicable:</w:t>
      </w:r>
    </w:p>
    <w:p w:rsidR="000463EF" w:rsidRPr="00957CC9" w:rsidRDefault="000463EF" w:rsidP="005C6FCD">
      <w:pPr>
        <w:pStyle w:val="ExDStdProvsNormal"/>
        <w:ind w:left="2880" w:hanging="720"/>
        <w:rPr>
          <w:rFonts w:ascii="Arial" w:hAnsi="Arial" w:cs="Arial"/>
          <w:sz w:val="20"/>
          <w:szCs w:val="20"/>
        </w:rPr>
      </w:pPr>
    </w:p>
    <w:p w:rsidR="000463EF" w:rsidRPr="00957CC9" w:rsidRDefault="0066239F" w:rsidP="00DB3C4D">
      <w:pPr>
        <w:pStyle w:val="ExDStdProvsNormal"/>
        <w:ind w:left="3600" w:hanging="720"/>
        <w:jc w:val="both"/>
        <w:rPr>
          <w:rFonts w:ascii="Arial" w:hAnsi="Arial" w:cs="Arial"/>
          <w:sz w:val="20"/>
          <w:szCs w:val="20"/>
        </w:rPr>
      </w:pPr>
      <w:r w:rsidRPr="00957CC9">
        <w:rPr>
          <w:rFonts w:ascii="Arial" w:hAnsi="Arial" w:cs="Arial"/>
          <w:sz w:val="20"/>
          <w:szCs w:val="20"/>
        </w:rPr>
        <w:t>(A)</w:t>
      </w:r>
      <w:r w:rsidRPr="00957CC9">
        <w:rPr>
          <w:rFonts w:ascii="Arial" w:hAnsi="Arial" w:cs="Arial"/>
          <w:sz w:val="20"/>
          <w:szCs w:val="20"/>
        </w:rPr>
        <w:tab/>
      </w:r>
      <w:r w:rsidR="00A452F7" w:rsidRPr="00957CC9">
        <w:rPr>
          <w:rFonts w:ascii="Arial" w:hAnsi="Arial" w:cs="Arial"/>
          <w:sz w:val="20"/>
          <w:szCs w:val="20"/>
        </w:rPr>
        <w:t xml:space="preserve">If Guarantor supplies a letter of credit, the letter of credit must be in the form required by Lender and satisfy the requirements for Letters of Credit set forth in Section </w:t>
      </w:r>
      <w:r w:rsidR="00BB2580">
        <w:rPr>
          <w:rFonts w:ascii="Arial" w:hAnsi="Arial" w:cs="Arial"/>
          <w:sz w:val="20"/>
          <w:szCs w:val="20"/>
        </w:rPr>
        <w:t>2</w:t>
      </w:r>
      <w:r w:rsidR="00DB3C4D">
        <w:rPr>
          <w:rFonts w:ascii="Arial" w:hAnsi="Arial" w:cs="Arial"/>
          <w:sz w:val="20"/>
          <w:szCs w:val="20"/>
        </w:rPr>
        <w:t>5</w:t>
      </w:r>
      <w:r w:rsidR="00BB2580">
        <w:rPr>
          <w:rFonts w:ascii="Arial" w:hAnsi="Arial" w:cs="Arial"/>
          <w:sz w:val="20"/>
          <w:szCs w:val="20"/>
        </w:rPr>
        <w:t>(g) below</w:t>
      </w:r>
      <w:r w:rsidR="002F50C4" w:rsidRPr="00957CC9">
        <w:rPr>
          <w:rFonts w:ascii="Arial" w:hAnsi="Arial" w:cs="Arial"/>
          <w:sz w:val="20"/>
          <w:szCs w:val="20"/>
        </w:rPr>
        <w:t xml:space="preserve">, except that an updated nonconsolidation opinion will not be </w:t>
      </w:r>
      <w:r w:rsidR="006C7E54" w:rsidRPr="00957CC9">
        <w:rPr>
          <w:rFonts w:ascii="Arial" w:hAnsi="Arial" w:cs="Arial"/>
          <w:sz w:val="20"/>
          <w:szCs w:val="20"/>
        </w:rPr>
        <w:t>required</w:t>
      </w:r>
      <w:r w:rsidR="00A452F7" w:rsidRPr="00957CC9">
        <w:rPr>
          <w:rFonts w:ascii="Arial" w:hAnsi="Arial" w:cs="Arial"/>
          <w:sz w:val="20"/>
          <w:szCs w:val="20"/>
        </w:rPr>
        <w:t>.</w:t>
      </w:r>
    </w:p>
    <w:p w:rsidR="000463EF" w:rsidRPr="00957CC9" w:rsidRDefault="000463EF" w:rsidP="00EE7EEC">
      <w:pPr>
        <w:pStyle w:val="ExDStdProvsNormal"/>
        <w:ind w:left="2880" w:hanging="720"/>
        <w:rPr>
          <w:rFonts w:ascii="Arial" w:hAnsi="Arial" w:cs="Arial"/>
          <w:sz w:val="20"/>
          <w:szCs w:val="20"/>
        </w:rPr>
      </w:pPr>
    </w:p>
    <w:p w:rsidR="00F72CBC" w:rsidRPr="00957CC9" w:rsidRDefault="00F72CBC" w:rsidP="00E71AC7">
      <w:pPr>
        <w:pStyle w:val="ExDStdProvsNormal"/>
        <w:ind w:left="3600" w:hanging="720"/>
        <w:rPr>
          <w:rFonts w:ascii="Arial" w:hAnsi="Arial" w:cs="Arial"/>
          <w:sz w:val="20"/>
          <w:szCs w:val="20"/>
        </w:rPr>
      </w:pPr>
      <w:r w:rsidRPr="00957CC9">
        <w:rPr>
          <w:rFonts w:ascii="Arial" w:hAnsi="Arial" w:cs="Arial"/>
          <w:sz w:val="20"/>
          <w:szCs w:val="20"/>
        </w:rPr>
        <w:t>(B)</w:t>
      </w:r>
      <w:r w:rsidRPr="00957CC9">
        <w:rPr>
          <w:rFonts w:ascii="Arial" w:hAnsi="Arial" w:cs="Arial"/>
          <w:sz w:val="20"/>
          <w:szCs w:val="20"/>
        </w:rPr>
        <w:tab/>
        <w:t>The letter of credit or other collateral must be in an amount equal to the greatest of:</w:t>
      </w:r>
    </w:p>
    <w:p w:rsidR="00F72CBC" w:rsidRPr="00957CC9" w:rsidRDefault="00F72CBC" w:rsidP="005C6FCD">
      <w:pPr>
        <w:pStyle w:val="ExDStdProvsNormal"/>
        <w:ind w:left="2160" w:hanging="720"/>
        <w:rPr>
          <w:rFonts w:ascii="Arial" w:hAnsi="Arial" w:cs="Arial"/>
          <w:sz w:val="20"/>
          <w:szCs w:val="20"/>
        </w:rPr>
      </w:pPr>
    </w:p>
    <w:p w:rsidR="00350519" w:rsidRPr="00957CC9" w:rsidRDefault="00350519" w:rsidP="00DB3C4D">
      <w:pPr>
        <w:pStyle w:val="ExDStdProvsNormal"/>
        <w:ind w:left="4320" w:hanging="720"/>
        <w:jc w:val="both"/>
        <w:rPr>
          <w:rFonts w:ascii="Arial" w:hAnsi="Arial" w:cs="Arial"/>
          <w:sz w:val="20"/>
          <w:szCs w:val="20"/>
        </w:rPr>
      </w:pPr>
      <w:r w:rsidRPr="00957CC9">
        <w:rPr>
          <w:rFonts w:ascii="Arial" w:hAnsi="Arial" w:cs="Arial"/>
          <w:sz w:val="20"/>
          <w:szCs w:val="20"/>
        </w:rPr>
        <w:t>(X)</w:t>
      </w:r>
      <w:r w:rsidRPr="00957CC9">
        <w:rPr>
          <w:rFonts w:ascii="Arial" w:hAnsi="Arial" w:cs="Arial"/>
          <w:sz w:val="20"/>
          <w:szCs w:val="20"/>
        </w:rPr>
        <w:tab/>
        <w:t xml:space="preserve">the positive difference, if any, obtained by subtracting the net worth identified in the Guarantor Certification from $______________ </w:t>
      </w:r>
      <w:r w:rsidRPr="00957CC9">
        <w:rPr>
          <w:rFonts w:ascii="Arial" w:hAnsi="Arial" w:cs="Arial"/>
          <w:b/>
          <w:sz w:val="20"/>
          <w:szCs w:val="20"/>
          <w:highlight w:val="yellow"/>
        </w:rPr>
        <w:t>[NET WORTH REQUIRED TO QUALIFY AS A GUARANTOR AS SET FORTH IN THE LETTER OF COMMITMENT]</w:t>
      </w:r>
      <w:r w:rsidR="00B84612" w:rsidRPr="00957CC9">
        <w:rPr>
          <w:rFonts w:ascii="Arial" w:hAnsi="Arial" w:cs="Arial"/>
          <w:b/>
          <w:sz w:val="20"/>
          <w:szCs w:val="20"/>
        </w:rPr>
        <w:t xml:space="preserve"> </w:t>
      </w:r>
      <w:r w:rsidR="00B84612" w:rsidRPr="00957CC9">
        <w:rPr>
          <w:rFonts w:ascii="Arial" w:hAnsi="Arial" w:cs="Arial"/>
          <w:sz w:val="20"/>
          <w:szCs w:val="20"/>
        </w:rPr>
        <w:t>(the “</w:t>
      </w:r>
      <w:r w:rsidR="00B84612" w:rsidRPr="00957CC9">
        <w:rPr>
          <w:rFonts w:ascii="Arial" w:hAnsi="Arial" w:cs="Arial"/>
          <w:b/>
          <w:sz w:val="20"/>
          <w:szCs w:val="20"/>
        </w:rPr>
        <w:t>Net Worth Requirement</w:t>
      </w:r>
      <w:r w:rsidR="00B84612" w:rsidRPr="00957CC9">
        <w:rPr>
          <w:rFonts w:ascii="Arial" w:hAnsi="Arial" w:cs="Arial"/>
          <w:sz w:val="20"/>
          <w:szCs w:val="20"/>
        </w:rPr>
        <w:t>”)</w:t>
      </w:r>
      <w:r w:rsidRPr="00957CC9">
        <w:rPr>
          <w:rFonts w:ascii="Arial" w:hAnsi="Arial" w:cs="Arial"/>
          <w:sz w:val="20"/>
          <w:szCs w:val="20"/>
        </w:rPr>
        <w:t>,</w:t>
      </w:r>
    </w:p>
    <w:p w:rsidR="00350519" w:rsidRPr="00957CC9" w:rsidRDefault="00350519" w:rsidP="005C6FCD">
      <w:pPr>
        <w:pStyle w:val="ExDStdProvsNormal"/>
        <w:ind w:left="4320" w:hanging="720"/>
        <w:rPr>
          <w:rFonts w:ascii="Arial" w:hAnsi="Arial" w:cs="Arial"/>
          <w:sz w:val="20"/>
          <w:szCs w:val="20"/>
        </w:rPr>
      </w:pPr>
    </w:p>
    <w:p w:rsidR="00350519" w:rsidRPr="00957CC9" w:rsidRDefault="00A735CB" w:rsidP="00DB3C4D">
      <w:pPr>
        <w:pStyle w:val="ExDStdProvsNormal"/>
        <w:ind w:left="4320" w:hanging="720"/>
        <w:jc w:val="both"/>
        <w:rPr>
          <w:rFonts w:ascii="Arial" w:hAnsi="Arial" w:cs="Arial"/>
          <w:sz w:val="20"/>
          <w:szCs w:val="20"/>
        </w:rPr>
      </w:pPr>
      <w:r w:rsidRPr="00957CC9">
        <w:rPr>
          <w:rFonts w:ascii="Arial" w:hAnsi="Arial" w:cs="Arial"/>
          <w:sz w:val="20"/>
          <w:szCs w:val="20"/>
        </w:rPr>
        <w:t>(Y)</w:t>
      </w:r>
      <w:r w:rsidR="00350519" w:rsidRPr="00957CC9">
        <w:rPr>
          <w:rFonts w:ascii="Arial" w:hAnsi="Arial" w:cs="Arial"/>
          <w:sz w:val="20"/>
          <w:szCs w:val="20"/>
        </w:rPr>
        <w:tab/>
        <w:t xml:space="preserve">the positive difference, if any, obtained by subtracting the liquid assets identified in the Guarantor Certification from _______________ </w:t>
      </w:r>
      <w:r w:rsidR="00350519" w:rsidRPr="00957CC9">
        <w:rPr>
          <w:rFonts w:ascii="Arial" w:hAnsi="Arial" w:cs="Arial"/>
          <w:b/>
          <w:sz w:val="20"/>
          <w:szCs w:val="20"/>
          <w:highlight w:val="yellow"/>
        </w:rPr>
        <w:t>[LIQUID ASSETS REQUIRED TO QUALIFY AS A GUARANTOR AS SET FORTH IN THE LETTER OF COMMITMENT]</w:t>
      </w:r>
      <w:r w:rsidR="00B84612" w:rsidRPr="00957CC9">
        <w:rPr>
          <w:rFonts w:ascii="Arial" w:hAnsi="Arial" w:cs="Arial"/>
          <w:sz w:val="20"/>
          <w:szCs w:val="20"/>
        </w:rPr>
        <w:t xml:space="preserve"> (the “</w:t>
      </w:r>
      <w:r w:rsidR="00B84612" w:rsidRPr="00957CC9">
        <w:rPr>
          <w:rFonts w:ascii="Arial" w:hAnsi="Arial" w:cs="Arial"/>
          <w:b/>
          <w:sz w:val="20"/>
          <w:szCs w:val="20"/>
        </w:rPr>
        <w:t>Liquidity Requirement”</w:t>
      </w:r>
      <w:r w:rsidR="00B84612" w:rsidRPr="00957CC9">
        <w:rPr>
          <w:rFonts w:ascii="Arial" w:hAnsi="Arial" w:cs="Arial"/>
          <w:sz w:val="20"/>
          <w:szCs w:val="20"/>
        </w:rPr>
        <w:t>)</w:t>
      </w:r>
      <w:r w:rsidR="00AC3D6C" w:rsidRPr="00957CC9">
        <w:rPr>
          <w:rFonts w:ascii="Arial" w:hAnsi="Arial" w:cs="Arial"/>
          <w:sz w:val="20"/>
          <w:szCs w:val="20"/>
        </w:rPr>
        <w:t>, and</w:t>
      </w:r>
    </w:p>
    <w:p w:rsidR="00350519" w:rsidRPr="00957CC9" w:rsidRDefault="00350519" w:rsidP="00EE7EEC">
      <w:pPr>
        <w:pStyle w:val="ExDStdProvsNormal"/>
        <w:ind w:left="3600" w:hanging="720"/>
        <w:rPr>
          <w:rFonts w:ascii="Arial" w:hAnsi="Arial" w:cs="Arial"/>
          <w:sz w:val="20"/>
          <w:szCs w:val="20"/>
        </w:rPr>
      </w:pPr>
    </w:p>
    <w:p w:rsidR="00350519" w:rsidRPr="00957CC9" w:rsidRDefault="00A735CB" w:rsidP="00E71AC7">
      <w:pPr>
        <w:pStyle w:val="ExDStdProvsNormal"/>
        <w:ind w:left="3600"/>
        <w:rPr>
          <w:rFonts w:ascii="Arial" w:hAnsi="Arial" w:cs="Arial"/>
          <w:sz w:val="20"/>
          <w:szCs w:val="20"/>
        </w:rPr>
      </w:pPr>
      <w:r w:rsidRPr="00957CC9">
        <w:rPr>
          <w:rFonts w:ascii="Arial" w:hAnsi="Arial" w:cs="Arial"/>
          <w:sz w:val="20"/>
          <w:szCs w:val="20"/>
        </w:rPr>
        <w:t>(Z)</w:t>
      </w:r>
      <w:r w:rsidR="00350519" w:rsidRPr="00957CC9">
        <w:rPr>
          <w:rFonts w:ascii="Arial" w:hAnsi="Arial" w:cs="Arial"/>
          <w:sz w:val="20"/>
          <w:szCs w:val="20"/>
        </w:rPr>
        <w:tab/>
        <w:t>$100</w:t>
      </w:r>
      <w:r w:rsidRPr="00957CC9">
        <w:rPr>
          <w:rFonts w:ascii="Arial" w:hAnsi="Arial" w:cs="Arial"/>
          <w:sz w:val="20"/>
          <w:szCs w:val="20"/>
        </w:rPr>
        <w:t>,000.</w:t>
      </w:r>
    </w:p>
    <w:p w:rsidR="00350519" w:rsidRPr="00957CC9" w:rsidRDefault="00350519" w:rsidP="005C6FCD">
      <w:pPr>
        <w:pStyle w:val="ExDStdProvsNormal"/>
        <w:ind w:left="2160" w:hanging="720"/>
        <w:rPr>
          <w:rFonts w:ascii="Arial" w:hAnsi="Arial" w:cs="Arial"/>
          <w:sz w:val="20"/>
          <w:szCs w:val="20"/>
        </w:rPr>
      </w:pPr>
    </w:p>
    <w:p w:rsidR="003412D9" w:rsidRPr="00957CC9" w:rsidRDefault="003412D9" w:rsidP="00DB3C4D">
      <w:pPr>
        <w:pStyle w:val="ExDStdProvsNormal"/>
        <w:ind w:left="2160" w:hanging="720"/>
        <w:jc w:val="both"/>
        <w:rPr>
          <w:rFonts w:ascii="Arial" w:hAnsi="Arial" w:cs="Arial"/>
          <w:sz w:val="20"/>
          <w:szCs w:val="20"/>
        </w:rPr>
      </w:pPr>
      <w:r w:rsidRPr="00957CC9">
        <w:rPr>
          <w:rFonts w:ascii="Arial" w:hAnsi="Arial" w:cs="Arial"/>
          <w:sz w:val="20"/>
          <w:szCs w:val="20"/>
        </w:rPr>
        <w:t>(c)</w:t>
      </w:r>
      <w:r w:rsidRPr="00957CC9">
        <w:rPr>
          <w:rFonts w:ascii="Arial" w:hAnsi="Arial" w:cs="Arial"/>
          <w:sz w:val="20"/>
          <w:szCs w:val="20"/>
        </w:rPr>
        <w:tab/>
        <w:t>Lender will hold the letter of credit or other collateral until one of the following occurs:</w:t>
      </w:r>
    </w:p>
    <w:p w:rsidR="003412D9" w:rsidRPr="00957CC9" w:rsidRDefault="003412D9" w:rsidP="003412D9">
      <w:pPr>
        <w:pStyle w:val="ExDStdProvsNormal"/>
        <w:ind w:left="1440" w:hanging="720"/>
        <w:rPr>
          <w:rFonts w:ascii="Arial" w:hAnsi="Arial" w:cs="Arial"/>
          <w:sz w:val="20"/>
          <w:szCs w:val="20"/>
        </w:rPr>
      </w:pPr>
    </w:p>
    <w:p w:rsidR="003412D9" w:rsidRPr="00957CC9" w:rsidRDefault="003412D9" w:rsidP="00DB3C4D">
      <w:pPr>
        <w:pStyle w:val="ExDStdProvsNormal"/>
        <w:ind w:left="2880" w:hanging="720"/>
        <w:jc w:val="both"/>
        <w:rPr>
          <w:rFonts w:ascii="Arial" w:hAnsi="Arial" w:cs="Arial"/>
          <w:sz w:val="20"/>
          <w:szCs w:val="20"/>
        </w:rPr>
      </w:pPr>
      <w:r w:rsidRPr="00957CC9">
        <w:rPr>
          <w:rFonts w:ascii="Arial" w:hAnsi="Arial" w:cs="Arial"/>
          <w:sz w:val="20"/>
          <w:szCs w:val="20"/>
        </w:rPr>
        <w:t>(i)</w:t>
      </w:r>
      <w:r w:rsidRPr="00957CC9">
        <w:rPr>
          <w:rFonts w:ascii="Arial" w:hAnsi="Arial" w:cs="Arial"/>
          <w:sz w:val="20"/>
          <w:szCs w:val="20"/>
        </w:rPr>
        <w:tab/>
        <w:t>Lender has a claim against the Guarantor, in which case Lender will be entitled to draw on the letter of credit and apply the proceeds or the other collateral to such claim(s), in Lender’s sole discretion.</w:t>
      </w:r>
    </w:p>
    <w:p w:rsidR="003412D9" w:rsidRPr="00957CC9" w:rsidRDefault="003412D9" w:rsidP="003412D9">
      <w:pPr>
        <w:pStyle w:val="ExDStdProvsNormal"/>
        <w:tabs>
          <w:tab w:val="left" w:pos="1440"/>
        </w:tabs>
        <w:ind w:left="2160" w:hanging="1440"/>
        <w:rPr>
          <w:rFonts w:ascii="Arial" w:hAnsi="Arial" w:cs="Arial"/>
          <w:sz w:val="20"/>
          <w:szCs w:val="20"/>
        </w:rPr>
      </w:pPr>
    </w:p>
    <w:p w:rsidR="003412D9" w:rsidRPr="00957CC9" w:rsidRDefault="003412D9" w:rsidP="00DB3C4D">
      <w:pPr>
        <w:pStyle w:val="ExDStdProvsNormal"/>
        <w:ind w:left="2880" w:hanging="720"/>
        <w:jc w:val="both"/>
        <w:rPr>
          <w:rFonts w:ascii="Arial" w:hAnsi="Arial" w:cs="Arial"/>
          <w:sz w:val="20"/>
          <w:szCs w:val="20"/>
        </w:rPr>
      </w:pPr>
      <w:r w:rsidRPr="00957CC9">
        <w:rPr>
          <w:rFonts w:ascii="Arial" w:hAnsi="Arial" w:cs="Arial"/>
          <w:sz w:val="20"/>
          <w:szCs w:val="20"/>
        </w:rPr>
        <w:t>(ii)</w:t>
      </w:r>
      <w:r w:rsidRPr="00957CC9">
        <w:rPr>
          <w:rFonts w:ascii="Arial" w:hAnsi="Arial" w:cs="Arial"/>
          <w:sz w:val="20"/>
          <w:szCs w:val="20"/>
        </w:rPr>
        <w:tab/>
        <w:t>Lender returns the letter of credit or other collateral to Guarantor pursuant to Section (d).</w:t>
      </w:r>
    </w:p>
    <w:p w:rsidR="003412D9" w:rsidRPr="00957CC9" w:rsidRDefault="003412D9" w:rsidP="003412D9">
      <w:pPr>
        <w:pStyle w:val="ExDStdProvsNormal"/>
        <w:ind w:left="1440" w:hanging="720"/>
        <w:rPr>
          <w:rFonts w:ascii="Arial" w:hAnsi="Arial" w:cs="Arial"/>
          <w:sz w:val="20"/>
          <w:szCs w:val="20"/>
        </w:rPr>
      </w:pPr>
      <w:r w:rsidRPr="00957CC9">
        <w:rPr>
          <w:rFonts w:ascii="Arial" w:hAnsi="Arial" w:cs="Arial"/>
          <w:sz w:val="20"/>
          <w:szCs w:val="20"/>
        </w:rPr>
        <w:tab/>
      </w:r>
    </w:p>
    <w:p w:rsidR="00F56B45" w:rsidRPr="00957CC9" w:rsidRDefault="00F56B45" w:rsidP="00DB3C4D">
      <w:pPr>
        <w:pStyle w:val="ExDStdProvsNormal"/>
        <w:ind w:left="2160" w:hanging="720"/>
        <w:jc w:val="both"/>
        <w:rPr>
          <w:rFonts w:ascii="Arial" w:hAnsi="Arial" w:cs="Arial"/>
          <w:sz w:val="20"/>
          <w:szCs w:val="20"/>
        </w:rPr>
      </w:pPr>
      <w:r w:rsidRPr="00957CC9">
        <w:rPr>
          <w:rFonts w:ascii="Arial" w:hAnsi="Arial" w:cs="Arial"/>
          <w:sz w:val="20"/>
          <w:szCs w:val="20"/>
        </w:rPr>
        <w:t>(</w:t>
      </w:r>
      <w:r w:rsidR="003412D9" w:rsidRPr="00957CC9">
        <w:rPr>
          <w:rFonts w:ascii="Arial" w:hAnsi="Arial" w:cs="Arial"/>
          <w:sz w:val="20"/>
          <w:szCs w:val="20"/>
        </w:rPr>
        <w:t>d</w:t>
      </w:r>
      <w:r w:rsidR="00A735CB" w:rsidRPr="00957CC9">
        <w:rPr>
          <w:rFonts w:ascii="Arial" w:hAnsi="Arial" w:cs="Arial"/>
          <w:sz w:val="20"/>
          <w:szCs w:val="20"/>
        </w:rPr>
        <w:t>)</w:t>
      </w:r>
      <w:r w:rsidR="00E835CF" w:rsidRPr="00957CC9">
        <w:rPr>
          <w:rFonts w:ascii="Arial" w:hAnsi="Arial" w:cs="Arial"/>
          <w:sz w:val="20"/>
          <w:szCs w:val="20"/>
        </w:rPr>
        <w:tab/>
      </w:r>
      <w:r w:rsidRPr="00957CC9">
        <w:rPr>
          <w:rFonts w:ascii="Arial" w:hAnsi="Arial" w:cs="Arial"/>
          <w:sz w:val="20"/>
          <w:szCs w:val="20"/>
        </w:rPr>
        <w:t xml:space="preserve">Provided no Event of Default then exists, Guarantor </w:t>
      </w:r>
      <w:r w:rsidR="007F483B" w:rsidRPr="00957CC9">
        <w:rPr>
          <w:rFonts w:ascii="Arial" w:hAnsi="Arial" w:cs="Arial"/>
          <w:sz w:val="20"/>
          <w:szCs w:val="20"/>
        </w:rPr>
        <w:t>will</w:t>
      </w:r>
      <w:r w:rsidR="00350519" w:rsidRPr="00957CC9">
        <w:rPr>
          <w:rFonts w:ascii="Arial" w:hAnsi="Arial" w:cs="Arial"/>
          <w:sz w:val="20"/>
          <w:szCs w:val="20"/>
        </w:rPr>
        <w:t xml:space="preserve"> </w:t>
      </w:r>
      <w:r w:rsidRPr="00957CC9">
        <w:rPr>
          <w:rFonts w:ascii="Arial" w:hAnsi="Arial" w:cs="Arial"/>
          <w:sz w:val="20"/>
          <w:szCs w:val="20"/>
        </w:rPr>
        <w:t>be entitled to request a return of the letter of credit or other collateral in the event it delivers to Lender evidence in form and substance satisfactory to Lender that a Material Adverse Change no longer exists.</w:t>
      </w:r>
    </w:p>
    <w:p w:rsidR="00F56B45" w:rsidRPr="00957CC9" w:rsidRDefault="00F56B45" w:rsidP="00EE7EEC">
      <w:pPr>
        <w:pStyle w:val="ExDStdProvsNormal"/>
        <w:ind w:left="1440" w:hanging="720"/>
        <w:rPr>
          <w:rFonts w:ascii="Arial" w:hAnsi="Arial" w:cs="Arial"/>
          <w:sz w:val="20"/>
          <w:szCs w:val="20"/>
        </w:rPr>
      </w:pPr>
    </w:p>
    <w:p w:rsidR="00F56B45" w:rsidRPr="00957CC9" w:rsidRDefault="00F56B45" w:rsidP="00DB3C4D">
      <w:pPr>
        <w:pStyle w:val="ExDStdProvsNormal"/>
        <w:ind w:left="2160" w:hanging="720"/>
        <w:jc w:val="both"/>
        <w:rPr>
          <w:rFonts w:ascii="Arial" w:hAnsi="Arial" w:cs="Arial"/>
          <w:color w:val="000000"/>
          <w:sz w:val="20"/>
          <w:szCs w:val="20"/>
        </w:rPr>
      </w:pPr>
      <w:r w:rsidRPr="00957CC9">
        <w:rPr>
          <w:rFonts w:ascii="Arial" w:hAnsi="Arial" w:cs="Arial"/>
          <w:sz w:val="20"/>
          <w:szCs w:val="20"/>
        </w:rPr>
        <w:t>(</w:t>
      </w:r>
      <w:r w:rsidR="003412D9" w:rsidRPr="00957CC9">
        <w:rPr>
          <w:rFonts w:ascii="Arial" w:hAnsi="Arial" w:cs="Arial"/>
          <w:sz w:val="20"/>
          <w:szCs w:val="20"/>
        </w:rPr>
        <w:t>e</w:t>
      </w:r>
      <w:r w:rsidR="00A735CB" w:rsidRPr="00957CC9">
        <w:rPr>
          <w:rFonts w:ascii="Arial" w:hAnsi="Arial" w:cs="Arial"/>
          <w:sz w:val="20"/>
          <w:szCs w:val="20"/>
        </w:rPr>
        <w:t>)</w:t>
      </w:r>
      <w:r w:rsidR="00E835CF" w:rsidRPr="00957CC9">
        <w:rPr>
          <w:rFonts w:ascii="Arial" w:hAnsi="Arial" w:cs="Arial"/>
          <w:sz w:val="20"/>
          <w:szCs w:val="20"/>
        </w:rPr>
        <w:tab/>
      </w:r>
      <w:r w:rsidRPr="00957CC9">
        <w:rPr>
          <w:rFonts w:ascii="Arial" w:hAnsi="Arial" w:cs="Arial"/>
          <w:sz w:val="20"/>
          <w:szCs w:val="20"/>
        </w:rPr>
        <w:t xml:space="preserve">For purposes of this Section, the term </w:t>
      </w:r>
      <w:r w:rsidR="00B9217D" w:rsidRPr="00957CC9">
        <w:rPr>
          <w:rFonts w:ascii="Arial" w:hAnsi="Arial" w:cs="Arial"/>
          <w:sz w:val="20"/>
          <w:szCs w:val="20"/>
        </w:rPr>
        <w:t>“</w:t>
      </w:r>
      <w:r w:rsidRPr="00957CC9">
        <w:rPr>
          <w:rFonts w:ascii="Arial" w:hAnsi="Arial" w:cs="Arial"/>
          <w:b/>
          <w:bCs/>
          <w:sz w:val="20"/>
          <w:szCs w:val="20"/>
        </w:rPr>
        <w:t>Material Adverse Change</w:t>
      </w:r>
      <w:r w:rsidR="00B9217D" w:rsidRPr="00957CC9">
        <w:rPr>
          <w:rFonts w:ascii="Arial" w:hAnsi="Arial" w:cs="Arial"/>
          <w:sz w:val="20"/>
          <w:szCs w:val="20"/>
        </w:rPr>
        <w:t>”</w:t>
      </w:r>
      <w:r w:rsidRPr="00957CC9">
        <w:rPr>
          <w:rFonts w:ascii="Arial" w:hAnsi="Arial" w:cs="Arial"/>
          <w:sz w:val="20"/>
          <w:szCs w:val="20"/>
        </w:rPr>
        <w:t xml:space="preserve"> </w:t>
      </w:r>
      <w:r w:rsidR="007F483B" w:rsidRPr="00957CC9">
        <w:rPr>
          <w:rFonts w:ascii="Arial" w:hAnsi="Arial" w:cs="Arial"/>
          <w:sz w:val="20"/>
          <w:szCs w:val="20"/>
        </w:rPr>
        <w:t>will</w:t>
      </w:r>
      <w:r w:rsidRPr="00957CC9">
        <w:rPr>
          <w:rFonts w:ascii="Arial" w:hAnsi="Arial" w:cs="Arial"/>
          <w:color w:val="000000"/>
          <w:sz w:val="20"/>
          <w:szCs w:val="20"/>
        </w:rPr>
        <w:t xml:space="preserve"> mean any material adverse effect or material adverse change, either individually or in the aggregate, in the general affairs, condition (financial or other), business, properties, results of operations, prospects, assets, liabilities, net worth or operations of the business and/or assets of Guarantor which would, if Guarantor were a publicly-traded company, result in a downgrade of its credit rating below investment grade.</w:t>
      </w:r>
    </w:p>
    <w:p w:rsidR="00B84612" w:rsidRPr="00957CC9" w:rsidRDefault="00B84612" w:rsidP="00E71AC7">
      <w:pPr>
        <w:pStyle w:val="ExDStdProvsNormal"/>
        <w:ind w:left="2160" w:hanging="720"/>
        <w:rPr>
          <w:rFonts w:ascii="Arial" w:hAnsi="Arial" w:cs="Arial"/>
          <w:color w:val="000000"/>
          <w:sz w:val="20"/>
          <w:szCs w:val="20"/>
        </w:rPr>
      </w:pPr>
    </w:p>
    <w:p w:rsidR="00B84612" w:rsidRDefault="00B84612" w:rsidP="00DB3C4D">
      <w:pPr>
        <w:pStyle w:val="ExDStdProvsNormal"/>
        <w:ind w:left="2160" w:hanging="720"/>
        <w:jc w:val="both"/>
        <w:rPr>
          <w:rFonts w:ascii="Arial" w:hAnsi="Arial" w:cs="Arial"/>
          <w:sz w:val="20"/>
          <w:szCs w:val="20"/>
        </w:rPr>
      </w:pPr>
      <w:r w:rsidRPr="00957CC9">
        <w:rPr>
          <w:rFonts w:ascii="Arial" w:hAnsi="Arial" w:cs="Arial"/>
          <w:color w:val="000000"/>
          <w:sz w:val="20"/>
          <w:szCs w:val="20"/>
        </w:rPr>
        <w:t>(f)</w:t>
      </w:r>
      <w:r w:rsidRPr="00957CC9">
        <w:rPr>
          <w:rFonts w:ascii="Arial" w:hAnsi="Arial" w:cs="Arial"/>
          <w:color w:val="000000"/>
          <w:sz w:val="20"/>
          <w:szCs w:val="20"/>
        </w:rPr>
        <w:tab/>
        <w:t xml:space="preserve">For purposes of determining the amount of any letter of credit or other collateral as required by </w:t>
      </w:r>
      <w:r w:rsidR="00276379" w:rsidRPr="00957CC9">
        <w:rPr>
          <w:rFonts w:ascii="Arial" w:hAnsi="Arial" w:cs="Arial"/>
          <w:color w:val="000000"/>
          <w:sz w:val="20"/>
          <w:szCs w:val="20"/>
        </w:rPr>
        <w:t>Section 2</w:t>
      </w:r>
      <w:r w:rsidR="00DB3C4D">
        <w:rPr>
          <w:rFonts w:ascii="Arial" w:hAnsi="Arial" w:cs="Arial"/>
          <w:color w:val="000000"/>
          <w:sz w:val="20"/>
          <w:szCs w:val="20"/>
        </w:rPr>
        <w:t>5</w:t>
      </w:r>
      <w:r w:rsidRPr="00957CC9">
        <w:rPr>
          <w:rFonts w:ascii="Arial" w:hAnsi="Arial" w:cs="Arial"/>
          <w:color w:val="000000"/>
          <w:sz w:val="20"/>
          <w:szCs w:val="20"/>
        </w:rPr>
        <w:t xml:space="preserve">(b) above, in the event there is </w:t>
      </w:r>
      <w:r w:rsidRPr="00957CC9">
        <w:rPr>
          <w:rFonts w:ascii="Arial" w:hAnsi="Arial" w:cs="Arial"/>
          <w:sz w:val="20"/>
          <w:szCs w:val="20"/>
        </w:rPr>
        <w:t xml:space="preserve">more than one Guarantor of the Indebtedness, Lender will determine compliance with the Net Worth Requirement </w:t>
      </w:r>
      <w:r w:rsidR="00F06606" w:rsidRPr="00957CC9">
        <w:rPr>
          <w:rFonts w:ascii="Arial" w:hAnsi="Arial" w:cs="Arial"/>
          <w:sz w:val="20"/>
          <w:szCs w:val="20"/>
        </w:rPr>
        <w:t xml:space="preserve">and the Liquidity Requirement </w:t>
      </w:r>
      <w:r w:rsidRPr="00957CC9">
        <w:rPr>
          <w:rFonts w:ascii="Arial" w:hAnsi="Arial" w:cs="Arial"/>
          <w:sz w:val="20"/>
          <w:szCs w:val="20"/>
        </w:rPr>
        <w:t>based on the aggregate net worth and liquid assets</w:t>
      </w:r>
      <w:r w:rsidR="00F06606" w:rsidRPr="00957CC9">
        <w:rPr>
          <w:rFonts w:ascii="Arial" w:hAnsi="Arial" w:cs="Arial"/>
          <w:sz w:val="20"/>
          <w:szCs w:val="20"/>
        </w:rPr>
        <w:t>, as applicable,</w:t>
      </w:r>
      <w:r w:rsidRPr="00957CC9">
        <w:rPr>
          <w:rFonts w:ascii="Arial" w:hAnsi="Arial" w:cs="Arial"/>
          <w:sz w:val="20"/>
          <w:szCs w:val="20"/>
        </w:rPr>
        <w:t xml:space="preserve"> of all Guarantors of the Indebtedness, as set for</w:t>
      </w:r>
      <w:r w:rsidR="0022048B" w:rsidRPr="00957CC9">
        <w:rPr>
          <w:rFonts w:ascii="Arial" w:hAnsi="Arial" w:cs="Arial"/>
          <w:sz w:val="20"/>
          <w:szCs w:val="20"/>
        </w:rPr>
        <w:t>th</w:t>
      </w:r>
      <w:r w:rsidRPr="00957CC9">
        <w:rPr>
          <w:rFonts w:ascii="Arial" w:hAnsi="Arial" w:cs="Arial"/>
          <w:sz w:val="20"/>
          <w:szCs w:val="20"/>
        </w:rPr>
        <w:t xml:space="preserve"> in each Guarantor’s Certification.</w:t>
      </w:r>
    </w:p>
    <w:p w:rsidR="00BB2580" w:rsidRDefault="00BB2580" w:rsidP="00B84612">
      <w:pPr>
        <w:pStyle w:val="ExDStdProvsNormal"/>
        <w:ind w:left="2160" w:hanging="720"/>
        <w:rPr>
          <w:rFonts w:ascii="Arial" w:hAnsi="Arial" w:cs="Arial"/>
          <w:sz w:val="20"/>
          <w:szCs w:val="20"/>
        </w:rPr>
      </w:pPr>
    </w:p>
    <w:p w:rsidR="00BB2580" w:rsidRPr="00011687" w:rsidRDefault="00BB2580" w:rsidP="00BB2580">
      <w:pPr>
        <w:keepNext/>
        <w:ind w:left="2160" w:hanging="720"/>
        <w:rPr>
          <w:rStyle w:val="DeltaViewInsertion"/>
          <w:rFonts w:ascii="Arial" w:hAnsi="Arial" w:cs="Arial"/>
          <w:b/>
          <w:color w:val="auto"/>
          <w:u w:val="none"/>
        </w:rPr>
      </w:pPr>
      <w:r w:rsidRPr="00011687">
        <w:rPr>
          <w:rFonts w:ascii="Arial" w:hAnsi="Arial" w:cs="Arial"/>
        </w:rPr>
        <w:t>(g)</w:t>
      </w:r>
      <w:r w:rsidRPr="00011687">
        <w:rPr>
          <w:rFonts w:ascii="Arial" w:hAnsi="Arial" w:cs="Arial"/>
        </w:rPr>
        <w:tab/>
      </w:r>
      <w:r w:rsidRPr="00011687">
        <w:rPr>
          <w:rStyle w:val="DeltaViewInsertion"/>
          <w:rFonts w:ascii="Arial" w:hAnsi="Arial" w:cs="Arial"/>
          <w:b/>
          <w:color w:val="auto"/>
          <w:u w:val="none"/>
        </w:rPr>
        <w:t xml:space="preserve">Letter of Credit Requirements. </w:t>
      </w:r>
    </w:p>
    <w:p w:rsidR="00BB2580" w:rsidRPr="00011687" w:rsidRDefault="00BB2580" w:rsidP="00BB2580">
      <w:pPr>
        <w:keepNext/>
        <w:ind w:left="2160" w:hanging="720"/>
        <w:rPr>
          <w:rStyle w:val="DeltaViewInsertion"/>
          <w:rFonts w:ascii="Arial" w:hAnsi="Arial" w:cs="Arial"/>
          <w:b/>
          <w:color w:val="auto"/>
          <w:u w:val="none"/>
        </w:rPr>
      </w:pPr>
    </w:p>
    <w:p w:rsidR="00BB2580" w:rsidRPr="00011687" w:rsidRDefault="00BB2580" w:rsidP="00DB3C4D">
      <w:pPr>
        <w:tabs>
          <w:tab w:val="left" w:pos="2160"/>
        </w:tabs>
        <w:ind w:left="2160" w:hanging="720"/>
        <w:jc w:val="both"/>
        <w:rPr>
          <w:rStyle w:val="DeltaViewInsertion"/>
          <w:rFonts w:ascii="Arial" w:hAnsi="Arial" w:cs="Arial"/>
        </w:rPr>
      </w:pPr>
      <w:r>
        <w:rPr>
          <w:rStyle w:val="DeltaViewInsertion"/>
          <w:rFonts w:ascii="Arial" w:hAnsi="Arial" w:cs="Arial"/>
          <w:color w:val="auto"/>
          <w:u w:val="none"/>
        </w:rPr>
        <w:tab/>
      </w:r>
      <w:r w:rsidRPr="00011687">
        <w:rPr>
          <w:rStyle w:val="DeltaViewInsertion"/>
          <w:rFonts w:ascii="Arial" w:hAnsi="Arial" w:cs="Arial"/>
          <w:color w:val="auto"/>
          <w:u w:val="none"/>
        </w:rPr>
        <w:t>(</w:t>
      </w:r>
      <w:r>
        <w:rPr>
          <w:rStyle w:val="DeltaViewInsertion"/>
          <w:rFonts w:ascii="Arial" w:hAnsi="Arial" w:cs="Arial"/>
          <w:color w:val="auto"/>
          <w:u w:val="none"/>
        </w:rPr>
        <w:t>i</w:t>
      </w:r>
      <w:r w:rsidRPr="00011687">
        <w:rPr>
          <w:rStyle w:val="DeltaViewInsertion"/>
          <w:rFonts w:ascii="Arial" w:hAnsi="Arial" w:cs="Arial"/>
          <w:color w:val="auto"/>
          <w:u w:val="none"/>
        </w:rPr>
        <w:t>)</w:t>
      </w:r>
      <w:r w:rsidRPr="00011687">
        <w:rPr>
          <w:rStyle w:val="DeltaViewInsertion"/>
          <w:rFonts w:ascii="Arial" w:hAnsi="Arial" w:cs="Arial"/>
          <w:color w:val="auto"/>
          <w:u w:val="none"/>
        </w:rPr>
        <w:tab/>
        <w:t xml:space="preserve">Any Letter of Credit required under this </w:t>
      </w:r>
      <w:r>
        <w:rPr>
          <w:rStyle w:val="DeltaViewInsertion"/>
          <w:rFonts w:ascii="Arial" w:hAnsi="Arial" w:cs="Arial"/>
          <w:color w:val="auto"/>
          <w:u w:val="none"/>
        </w:rPr>
        <w:t>Guaranty</w:t>
      </w:r>
      <w:r w:rsidRPr="00011687">
        <w:rPr>
          <w:rStyle w:val="DeltaViewInsertion"/>
          <w:rFonts w:ascii="Arial" w:hAnsi="Arial" w:cs="Arial"/>
          <w:color w:val="auto"/>
          <w:u w:val="none"/>
        </w:rPr>
        <w:t xml:space="preserve"> must satisfy the following conditions:</w:t>
      </w:r>
    </w:p>
    <w:p w:rsidR="00BB2580" w:rsidRPr="00011687" w:rsidRDefault="00BB2580" w:rsidP="00BB2580">
      <w:pPr>
        <w:tabs>
          <w:tab w:val="left" w:pos="8730"/>
        </w:tabs>
        <w:ind w:left="2160" w:hanging="720"/>
        <w:rPr>
          <w:rStyle w:val="DeltaViewInsertion"/>
          <w:rFonts w:ascii="Arial" w:hAnsi="Arial" w:cs="Arial"/>
        </w:rPr>
      </w:pPr>
    </w:p>
    <w:p w:rsidR="00BB2580" w:rsidRPr="00011687" w:rsidRDefault="00BB2580" w:rsidP="00DB3C4D">
      <w:pPr>
        <w:tabs>
          <w:tab w:val="left" w:pos="2160"/>
        </w:tabs>
        <w:ind w:left="2160" w:hanging="720"/>
        <w:jc w:val="both"/>
        <w:rPr>
          <w:rFonts w:ascii="Arial" w:hAnsi="Arial" w:cs="Arial"/>
        </w:rPr>
      </w:pPr>
      <w:r>
        <w:rPr>
          <w:rFonts w:ascii="Arial" w:hAnsi="Arial" w:cs="Arial"/>
        </w:rPr>
        <w:tab/>
      </w:r>
      <w:r>
        <w:rPr>
          <w:rFonts w:ascii="Arial" w:hAnsi="Arial" w:cs="Arial"/>
        </w:rPr>
        <w:tab/>
      </w:r>
      <w:r w:rsidRPr="00011687">
        <w:rPr>
          <w:rFonts w:ascii="Arial" w:hAnsi="Arial" w:cs="Arial"/>
        </w:rPr>
        <w:t>(</w:t>
      </w:r>
      <w:r>
        <w:rPr>
          <w:rFonts w:ascii="Arial" w:hAnsi="Arial" w:cs="Arial"/>
        </w:rPr>
        <w:t>A</w:t>
      </w:r>
      <w:r w:rsidRPr="00011687">
        <w:rPr>
          <w:rFonts w:ascii="Arial" w:hAnsi="Arial" w:cs="Arial"/>
        </w:rPr>
        <w:t>)</w:t>
      </w:r>
      <w:r w:rsidRPr="00011687">
        <w:rPr>
          <w:rFonts w:ascii="Arial" w:hAnsi="Arial" w:cs="Arial"/>
        </w:rPr>
        <w:tab/>
        <w:t>It must be a clean, irrevocable, unconditional standby letter of credit.</w:t>
      </w:r>
    </w:p>
    <w:p w:rsidR="00BB2580" w:rsidRPr="00011687" w:rsidRDefault="00BB2580" w:rsidP="00BB2580">
      <w:pPr>
        <w:tabs>
          <w:tab w:val="left" w:pos="2160"/>
        </w:tabs>
        <w:ind w:left="2160" w:hanging="720"/>
        <w:rPr>
          <w:rFonts w:ascii="Arial" w:hAnsi="Arial" w:cs="Arial"/>
        </w:rPr>
      </w:pPr>
    </w:p>
    <w:p w:rsidR="00BB2580" w:rsidRPr="00011687" w:rsidRDefault="00BB2580" w:rsidP="00DB3C4D">
      <w:pPr>
        <w:tabs>
          <w:tab w:val="left" w:pos="2160"/>
        </w:tabs>
        <w:ind w:left="2160" w:hanging="720"/>
        <w:jc w:val="both"/>
        <w:rPr>
          <w:rFonts w:ascii="Arial" w:hAnsi="Arial" w:cs="Arial"/>
        </w:rPr>
      </w:pPr>
      <w:r>
        <w:rPr>
          <w:rFonts w:ascii="Arial" w:hAnsi="Arial" w:cs="Arial"/>
        </w:rPr>
        <w:tab/>
      </w:r>
      <w:r>
        <w:rPr>
          <w:rFonts w:ascii="Arial" w:hAnsi="Arial" w:cs="Arial"/>
        </w:rPr>
        <w:tab/>
      </w:r>
      <w:r w:rsidRPr="00011687">
        <w:rPr>
          <w:rFonts w:ascii="Arial" w:hAnsi="Arial" w:cs="Arial"/>
        </w:rPr>
        <w:t>(</w:t>
      </w:r>
      <w:r>
        <w:rPr>
          <w:rFonts w:ascii="Arial" w:hAnsi="Arial" w:cs="Arial"/>
        </w:rPr>
        <w:t>B</w:t>
      </w:r>
      <w:r w:rsidRPr="00011687">
        <w:rPr>
          <w:rFonts w:ascii="Arial" w:hAnsi="Arial" w:cs="Arial"/>
        </w:rPr>
        <w:t>)</w:t>
      </w:r>
      <w:r w:rsidRPr="00011687">
        <w:rPr>
          <w:rFonts w:ascii="Arial" w:hAnsi="Arial" w:cs="Arial"/>
        </w:rPr>
        <w:tab/>
        <w:t>It must name Lender as the sole beneficiary and permit Lender to assign the Letter of Credit without further consent from Issuer.</w:t>
      </w:r>
    </w:p>
    <w:p w:rsidR="00BB2580" w:rsidRPr="00011687" w:rsidRDefault="00BB2580" w:rsidP="00BB2580">
      <w:pPr>
        <w:tabs>
          <w:tab w:val="left" w:pos="2160"/>
        </w:tabs>
        <w:ind w:left="2160" w:hanging="720"/>
        <w:rPr>
          <w:rFonts w:ascii="Arial" w:hAnsi="Arial" w:cs="Arial"/>
        </w:rPr>
      </w:pPr>
    </w:p>
    <w:p w:rsidR="00BB2580" w:rsidRPr="00011687" w:rsidRDefault="00BB2580" w:rsidP="00BB2580">
      <w:pPr>
        <w:tabs>
          <w:tab w:val="left" w:pos="2160"/>
        </w:tabs>
        <w:ind w:left="2160" w:hanging="720"/>
        <w:rPr>
          <w:rFonts w:ascii="Arial" w:hAnsi="Arial" w:cs="Arial"/>
        </w:rPr>
      </w:pPr>
      <w:r>
        <w:rPr>
          <w:rFonts w:ascii="Arial" w:hAnsi="Arial" w:cs="Arial"/>
        </w:rPr>
        <w:tab/>
      </w:r>
      <w:r>
        <w:rPr>
          <w:rFonts w:ascii="Arial" w:hAnsi="Arial" w:cs="Arial"/>
        </w:rPr>
        <w:tab/>
      </w:r>
      <w:r w:rsidRPr="00011687">
        <w:rPr>
          <w:rFonts w:ascii="Arial" w:hAnsi="Arial" w:cs="Arial"/>
        </w:rPr>
        <w:t>(</w:t>
      </w:r>
      <w:r>
        <w:rPr>
          <w:rFonts w:ascii="Arial" w:hAnsi="Arial" w:cs="Arial"/>
        </w:rPr>
        <w:t>C</w:t>
      </w:r>
      <w:r w:rsidRPr="00011687">
        <w:rPr>
          <w:rFonts w:ascii="Arial" w:hAnsi="Arial" w:cs="Arial"/>
        </w:rPr>
        <w:t>)</w:t>
      </w:r>
      <w:r w:rsidRPr="00011687">
        <w:rPr>
          <w:rFonts w:ascii="Arial" w:hAnsi="Arial" w:cs="Arial"/>
        </w:rPr>
        <w:tab/>
        <w:t>It must have an initial term of not less than 12 months.</w:t>
      </w:r>
    </w:p>
    <w:p w:rsidR="00BB2580" w:rsidRPr="00011687" w:rsidRDefault="00BB2580" w:rsidP="00BB2580">
      <w:pPr>
        <w:tabs>
          <w:tab w:val="left" w:pos="2160"/>
        </w:tabs>
        <w:ind w:left="2160" w:hanging="720"/>
        <w:rPr>
          <w:rFonts w:ascii="Arial" w:hAnsi="Arial" w:cs="Arial"/>
        </w:rPr>
      </w:pPr>
    </w:p>
    <w:p w:rsidR="00BB2580" w:rsidRPr="00011687" w:rsidRDefault="00BB2580" w:rsidP="00BB2580">
      <w:pPr>
        <w:tabs>
          <w:tab w:val="left" w:pos="2160"/>
        </w:tabs>
        <w:ind w:left="2160" w:hanging="720"/>
        <w:rPr>
          <w:rFonts w:ascii="Arial" w:hAnsi="Arial" w:cs="Arial"/>
        </w:rPr>
      </w:pPr>
      <w:r>
        <w:rPr>
          <w:rFonts w:ascii="Arial" w:hAnsi="Arial" w:cs="Arial"/>
        </w:rPr>
        <w:tab/>
      </w:r>
      <w:r>
        <w:rPr>
          <w:rFonts w:ascii="Arial" w:hAnsi="Arial" w:cs="Arial"/>
        </w:rPr>
        <w:tab/>
      </w:r>
      <w:r w:rsidRPr="00011687">
        <w:rPr>
          <w:rFonts w:ascii="Arial" w:hAnsi="Arial" w:cs="Arial"/>
        </w:rPr>
        <w:t>(</w:t>
      </w:r>
      <w:r>
        <w:rPr>
          <w:rFonts w:ascii="Arial" w:hAnsi="Arial" w:cs="Arial"/>
        </w:rPr>
        <w:t>D</w:t>
      </w:r>
      <w:r w:rsidRPr="00011687">
        <w:rPr>
          <w:rFonts w:ascii="Arial" w:hAnsi="Arial" w:cs="Arial"/>
        </w:rPr>
        <w:t>)</w:t>
      </w:r>
      <w:r w:rsidRPr="00011687">
        <w:rPr>
          <w:rFonts w:ascii="Arial" w:hAnsi="Arial" w:cs="Arial"/>
        </w:rPr>
        <w:tab/>
        <w:t>It must be in the form required by Lender.</w:t>
      </w:r>
    </w:p>
    <w:p w:rsidR="00BB2580" w:rsidRPr="00011687" w:rsidRDefault="00BB2580" w:rsidP="00BB2580">
      <w:pPr>
        <w:tabs>
          <w:tab w:val="left" w:pos="2160"/>
        </w:tabs>
        <w:ind w:left="2160" w:hanging="720"/>
        <w:rPr>
          <w:rFonts w:ascii="Arial" w:hAnsi="Arial" w:cs="Arial"/>
        </w:rPr>
      </w:pPr>
    </w:p>
    <w:p w:rsidR="00BB2580" w:rsidRPr="00011687" w:rsidRDefault="00BB2580" w:rsidP="00DB3C4D">
      <w:pPr>
        <w:tabs>
          <w:tab w:val="left" w:pos="1683"/>
          <w:tab w:val="left" w:pos="2160"/>
        </w:tabs>
        <w:ind w:left="2160" w:hanging="720"/>
        <w:jc w:val="both"/>
        <w:rPr>
          <w:rFonts w:ascii="Arial" w:hAnsi="Arial" w:cs="Arial"/>
        </w:rPr>
      </w:pPr>
      <w:r>
        <w:rPr>
          <w:rFonts w:ascii="Arial" w:hAnsi="Arial" w:cs="Arial"/>
        </w:rPr>
        <w:tab/>
      </w:r>
      <w:r>
        <w:rPr>
          <w:rFonts w:ascii="Arial" w:hAnsi="Arial" w:cs="Arial"/>
        </w:rPr>
        <w:tab/>
      </w:r>
      <w:r>
        <w:rPr>
          <w:rFonts w:ascii="Arial" w:hAnsi="Arial" w:cs="Arial"/>
        </w:rPr>
        <w:tab/>
      </w:r>
      <w:r w:rsidRPr="00011687">
        <w:rPr>
          <w:rFonts w:ascii="Arial" w:hAnsi="Arial" w:cs="Arial"/>
        </w:rPr>
        <w:t>(</w:t>
      </w:r>
      <w:r>
        <w:rPr>
          <w:rFonts w:ascii="Arial" w:hAnsi="Arial" w:cs="Arial"/>
        </w:rPr>
        <w:t>E</w:t>
      </w:r>
      <w:r w:rsidRPr="00011687">
        <w:rPr>
          <w:rFonts w:ascii="Arial" w:hAnsi="Arial" w:cs="Arial"/>
        </w:rPr>
        <w:t>)</w:t>
      </w:r>
      <w:r w:rsidRPr="00011687">
        <w:rPr>
          <w:rFonts w:ascii="Arial" w:hAnsi="Arial" w:cs="Arial"/>
        </w:rPr>
        <w:tab/>
        <w:t>It must provide that it may be drawn on by Lender or Loan Servicer, in whole or in part, by presentation to Issuer of a sight draft without any other restrictions on the right to draw.</w:t>
      </w:r>
    </w:p>
    <w:p w:rsidR="00BB2580" w:rsidRPr="00011687" w:rsidRDefault="00BB2580" w:rsidP="00BB2580">
      <w:pPr>
        <w:tabs>
          <w:tab w:val="left" w:pos="1683"/>
          <w:tab w:val="left" w:pos="2160"/>
        </w:tabs>
        <w:ind w:left="2160" w:hanging="720"/>
        <w:rPr>
          <w:rFonts w:ascii="Arial" w:hAnsi="Arial" w:cs="Arial"/>
        </w:rPr>
      </w:pPr>
    </w:p>
    <w:p w:rsidR="00BB2580" w:rsidRPr="00011687" w:rsidRDefault="00BB2580" w:rsidP="00DB3C4D">
      <w:pPr>
        <w:tabs>
          <w:tab w:val="left" w:pos="2160"/>
        </w:tabs>
        <w:ind w:left="2160" w:hanging="720"/>
        <w:jc w:val="both"/>
        <w:rPr>
          <w:rFonts w:ascii="Arial" w:hAnsi="Arial" w:cs="Arial"/>
        </w:rPr>
      </w:pPr>
      <w:r>
        <w:rPr>
          <w:rFonts w:ascii="Arial" w:hAnsi="Arial" w:cs="Arial"/>
        </w:rPr>
        <w:tab/>
      </w:r>
      <w:r>
        <w:rPr>
          <w:rFonts w:ascii="Arial" w:hAnsi="Arial" w:cs="Arial"/>
        </w:rPr>
        <w:tab/>
      </w:r>
      <w:r w:rsidRPr="00011687">
        <w:rPr>
          <w:rFonts w:ascii="Arial" w:hAnsi="Arial" w:cs="Arial"/>
        </w:rPr>
        <w:t>(</w:t>
      </w:r>
      <w:r>
        <w:rPr>
          <w:rFonts w:ascii="Arial" w:hAnsi="Arial" w:cs="Arial"/>
        </w:rPr>
        <w:t>F</w:t>
      </w:r>
      <w:r w:rsidRPr="00011687">
        <w:rPr>
          <w:rFonts w:ascii="Arial" w:hAnsi="Arial" w:cs="Arial"/>
        </w:rPr>
        <w:t>)</w:t>
      </w:r>
      <w:r w:rsidRPr="00011687">
        <w:rPr>
          <w:rFonts w:ascii="Arial" w:hAnsi="Arial" w:cs="Arial"/>
        </w:rPr>
        <w:tab/>
        <w:t xml:space="preserve">It must be issued by an </w:t>
      </w:r>
      <w:proofErr w:type="gramStart"/>
      <w:r w:rsidRPr="00011687">
        <w:rPr>
          <w:rFonts w:ascii="Arial" w:hAnsi="Arial" w:cs="Arial"/>
        </w:rPr>
        <w:t>Issuer meeting Lender’s requirements</w:t>
      </w:r>
      <w:proofErr w:type="gramEnd"/>
      <w:r w:rsidRPr="00011687">
        <w:rPr>
          <w:rFonts w:ascii="Arial" w:hAnsi="Arial" w:cs="Arial"/>
        </w:rPr>
        <w:t>, which Issuer (i) must be an Eligible Institution</w:t>
      </w:r>
      <w:r>
        <w:rPr>
          <w:rFonts w:ascii="Arial" w:hAnsi="Arial" w:cs="Arial"/>
        </w:rPr>
        <w:t xml:space="preserve"> as that term is defined in the Loan Agreement</w:t>
      </w:r>
      <w:r w:rsidRPr="00011687">
        <w:rPr>
          <w:rFonts w:ascii="Arial" w:hAnsi="Arial" w:cs="Arial"/>
        </w:rPr>
        <w:t>, and (ii) may not, unless Lender agrees in writing, be an affiliate of Borrower or Lender.</w:t>
      </w:r>
    </w:p>
    <w:p w:rsidR="00BB2580" w:rsidRPr="00011687" w:rsidRDefault="00BB2580" w:rsidP="00BB2580">
      <w:pPr>
        <w:tabs>
          <w:tab w:val="left" w:pos="2160"/>
        </w:tabs>
        <w:ind w:left="2160" w:hanging="720"/>
        <w:rPr>
          <w:rFonts w:ascii="Arial" w:hAnsi="Arial" w:cs="Arial"/>
        </w:rPr>
      </w:pPr>
    </w:p>
    <w:p w:rsidR="00BB2580" w:rsidRPr="00011687" w:rsidRDefault="00BB2580" w:rsidP="00DB3C4D">
      <w:pPr>
        <w:pStyle w:val="ExDStdProvsNormal"/>
        <w:tabs>
          <w:tab w:val="left" w:pos="2160"/>
        </w:tabs>
        <w:ind w:left="2160" w:hanging="720"/>
        <w:jc w:val="both"/>
        <w:rPr>
          <w:rFonts w:ascii="Arial" w:hAnsi="Arial" w:cs="Arial"/>
          <w:sz w:val="20"/>
          <w:szCs w:val="20"/>
        </w:rPr>
      </w:pPr>
      <w:r>
        <w:rPr>
          <w:rFonts w:ascii="Arial" w:hAnsi="Arial" w:cs="Arial"/>
          <w:sz w:val="20"/>
          <w:szCs w:val="20"/>
        </w:rPr>
        <w:tab/>
      </w:r>
      <w:r>
        <w:rPr>
          <w:rFonts w:ascii="Arial" w:hAnsi="Arial" w:cs="Arial"/>
          <w:sz w:val="20"/>
          <w:szCs w:val="20"/>
        </w:rPr>
        <w:tab/>
      </w:r>
      <w:r w:rsidRPr="00011687">
        <w:rPr>
          <w:rFonts w:ascii="Arial" w:hAnsi="Arial" w:cs="Arial"/>
          <w:sz w:val="20"/>
          <w:szCs w:val="20"/>
        </w:rPr>
        <w:t>(</w:t>
      </w:r>
      <w:r>
        <w:rPr>
          <w:rFonts w:ascii="Arial" w:hAnsi="Arial" w:cs="Arial"/>
          <w:sz w:val="20"/>
          <w:szCs w:val="20"/>
        </w:rPr>
        <w:t>G</w:t>
      </w:r>
      <w:r w:rsidRPr="00011687">
        <w:rPr>
          <w:rFonts w:ascii="Arial" w:hAnsi="Arial" w:cs="Arial"/>
          <w:sz w:val="20"/>
          <w:szCs w:val="20"/>
        </w:rPr>
        <w:t>)</w:t>
      </w:r>
      <w:r w:rsidRPr="00011687">
        <w:rPr>
          <w:rFonts w:ascii="Arial" w:hAnsi="Arial" w:cs="Arial"/>
          <w:sz w:val="20"/>
          <w:szCs w:val="20"/>
        </w:rPr>
        <w:tab/>
        <w:t xml:space="preserve">It must be obtained on behalf of Borrower by a Person other than Borrower’s general partners or managing members if Borrower is a general or limited partnership or limited liability company. Neither Borrower nor the general partners or managing members, if applicable, may have any liability or other obligations under any reimbursement agreement with respect to the Letter of Credit. </w:t>
      </w:r>
    </w:p>
    <w:p w:rsidR="00BB2580" w:rsidRPr="00011687" w:rsidRDefault="00BB2580" w:rsidP="00BB2580">
      <w:pPr>
        <w:pStyle w:val="ExDStdProvsNormal"/>
        <w:tabs>
          <w:tab w:val="left" w:pos="2160"/>
        </w:tabs>
        <w:ind w:left="2160" w:hanging="720"/>
        <w:rPr>
          <w:rFonts w:ascii="Arial" w:hAnsi="Arial" w:cs="Arial"/>
          <w:sz w:val="20"/>
          <w:szCs w:val="20"/>
        </w:rPr>
      </w:pPr>
    </w:p>
    <w:p w:rsidR="00BB2580" w:rsidRPr="00011687" w:rsidRDefault="00BB2580" w:rsidP="00DB3C4D">
      <w:pPr>
        <w:pStyle w:val="ExDStdProvsNormal"/>
        <w:tabs>
          <w:tab w:val="left" w:pos="2160"/>
        </w:tabs>
        <w:ind w:left="2160" w:hanging="720"/>
        <w:jc w:val="both"/>
        <w:rPr>
          <w:rFonts w:ascii="Arial" w:hAnsi="Arial" w:cs="Arial"/>
          <w:sz w:val="20"/>
          <w:szCs w:val="20"/>
        </w:rPr>
      </w:pPr>
      <w:r>
        <w:rPr>
          <w:rFonts w:ascii="Arial" w:hAnsi="Arial" w:cs="Arial"/>
          <w:sz w:val="20"/>
          <w:szCs w:val="20"/>
        </w:rPr>
        <w:tab/>
      </w:r>
      <w:r>
        <w:rPr>
          <w:rFonts w:ascii="Arial" w:hAnsi="Arial" w:cs="Arial"/>
          <w:sz w:val="20"/>
          <w:szCs w:val="20"/>
        </w:rPr>
        <w:tab/>
      </w:r>
      <w:r w:rsidRPr="00011687">
        <w:rPr>
          <w:rFonts w:ascii="Arial" w:hAnsi="Arial" w:cs="Arial"/>
          <w:sz w:val="20"/>
          <w:szCs w:val="20"/>
        </w:rPr>
        <w:t>(</w:t>
      </w:r>
      <w:r>
        <w:rPr>
          <w:rFonts w:ascii="Arial" w:hAnsi="Arial" w:cs="Arial"/>
          <w:sz w:val="20"/>
          <w:szCs w:val="20"/>
        </w:rPr>
        <w:t>H</w:t>
      </w:r>
      <w:r w:rsidRPr="00011687">
        <w:rPr>
          <w:rFonts w:ascii="Arial" w:hAnsi="Arial" w:cs="Arial"/>
          <w:sz w:val="20"/>
          <w:szCs w:val="20"/>
        </w:rPr>
        <w:t>)</w:t>
      </w:r>
      <w:bookmarkStart w:id="0" w:name="_GoBack"/>
      <w:bookmarkEnd w:id="0"/>
      <w:r w:rsidRPr="00011687">
        <w:rPr>
          <w:rFonts w:ascii="Arial" w:hAnsi="Arial" w:cs="Arial"/>
          <w:sz w:val="20"/>
          <w:szCs w:val="20"/>
        </w:rPr>
        <w:tab/>
        <w:t xml:space="preserve">It may not be secured by a lien on all or any part of the Mortgaged Property or related </w:t>
      </w:r>
      <w:proofErr w:type="spellStart"/>
      <w:r w:rsidRPr="00011687">
        <w:rPr>
          <w:rFonts w:ascii="Arial" w:hAnsi="Arial" w:cs="Arial"/>
          <w:sz w:val="20"/>
          <w:szCs w:val="20"/>
        </w:rPr>
        <w:t>Personalty</w:t>
      </w:r>
      <w:proofErr w:type="spellEnd"/>
      <w:r w:rsidRPr="00011687">
        <w:rPr>
          <w:rFonts w:ascii="Arial" w:hAnsi="Arial" w:cs="Arial"/>
          <w:sz w:val="20"/>
          <w:szCs w:val="20"/>
        </w:rPr>
        <w:t>.</w:t>
      </w:r>
    </w:p>
    <w:p w:rsidR="00BB2580" w:rsidRPr="00011687" w:rsidRDefault="00BB2580" w:rsidP="00BB2580">
      <w:pPr>
        <w:tabs>
          <w:tab w:val="left" w:pos="2160"/>
        </w:tabs>
        <w:ind w:left="2160" w:hanging="720"/>
        <w:rPr>
          <w:rFonts w:ascii="Arial" w:hAnsi="Arial" w:cs="Arial"/>
        </w:rPr>
      </w:pPr>
    </w:p>
    <w:p w:rsidR="00BB2580" w:rsidRPr="00011687" w:rsidRDefault="00BB2580" w:rsidP="00DB3C4D">
      <w:pPr>
        <w:tabs>
          <w:tab w:val="left" w:pos="2160"/>
        </w:tabs>
        <w:ind w:left="2160" w:hanging="720"/>
        <w:jc w:val="both"/>
        <w:rPr>
          <w:rFonts w:ascii="Arial" w:hAnsi="Arial" w:cs="Arial"/>
        </w:rPr>
      </w:pPr>
      <w:r>
        <w:rPr>
          <w:rFonts w:ascii="Arial" w:hAnsi="Arial" w:cs="Arial"/>
        </w:rPr>
        <w:tab/>
      </w:r>
      <w:r>
        <w:rPr>
          <w:rFonts w:ascii="Arial" w:hAnsi="Arial" w:cs="Arial"/>
        </w:rPr>
        <w:tab/>
      </w:r>
      <w:r w:rsidRPr="00011687">
        <w:rPr>
          <w:rFonts w:ascii="Arial" w:hAnsi="Arial" w:cs="Arial"/>
        </w:rPr>
        <w:t>(</w:t>
      </w:r>
      <w:r>
        <w:rPr>
          <w:rFonts w:ascii="Arial" w:hAnsi="Arial" w:cs="Arial"/>
        </w:rPr>
        <w:t>I</w:t>
      </w:r>
      <w:r w:rsidRPr="00011687">
        <w:rPr>
          <w:rFonts w:ascii="Arial" w:hAnsi="Arial" w:cs="Arial"/>
        </w:rPr>
        <w:t>)</w:t>
      </w:r>
      <w:r w:rsidRPr="00011687">
        <w:rPr>
          <w:rFonts w:ascii="Arial" w:hAnsi="Arial" w:cs="Arial"/>
        </w:rPr>
        <w:tab/>
        <w:t xml:space="preserve">When delivered to Lender, it must be accompanied by an opinion acceptable to Lender in Lender’s </w:t>
      </w:r>
      <w:r w:rsidR="001A4BA9">
        <w:rPr>
          <w:rFonts w:ascii="Arial" w:hAnsi="Arial" w:cs="Arial"/>
        </w:rPr>
        <w:t>d</w:t>
      </w:r>
      <w:r w:rsidRPr="00011687">
        <w:rPr>
          <w:rFonts w:ascii="Arial" w:hAnsi="Arial" w:cs="Arial"/>
        </w:rPr>
        <w:t xml:space="preserve">iscretion issued by counsel to the Issuer that includes opinions as to Issuer’s power and authority to issue the Letter of Credit and the enforceability of the Letter of Credit against Issuer and an updated </w:t>
      </w:r>
      <w:proofErr w:type="spellStart"/>
      <w:r w:rsidRPr="00011687">
        <w:rPr>
          <w:rFonts w:ascii="Arial" w:hAnsi="Arial" w:cs="Arial"/>
        </w:rPr>
        <w:t>nonconsolidation</w:t>
      </w:r>
      <w:proofErr w:type="spellEnd"/>
      <w:r w:rsidRPr="00011687">
        <w:rPr>
          <w:rFonts w:ascii="Arial" w:hAnsi="Arial" w:cs="Arial"/>
        </w:rPr>
        <w:t xml:space="preserve"> opinion </w:t>
      </w:r>
      <w:proofErr w:type="gramStart"/>
      <w:r w:rsidRPr="00011687">
        <w:rPr>
          <w:rFonts w:ascii="Arial" w:hAnsi="Arial" w:cs="Arial"/>
        </w:rPr>
        <w:t>with regard to</w:t>
      </w:r>
      <w:proofErr w:type="gramEnd"/>
      <w:r w:rsidRPr="00011687">
        <w:rPr>
          <w:rFonts w:ascii="Arial" w:hAnsi="Arial" w:cs="Arial"/>
        </w:rPr>
        <w:t xml:space="preserve"> any such Letter of Credit in form and substance satisfactory to Lender.</w:t>
      </w:r>
    </w:p>
    <w:p w:rsidR="00BB2580" w:rsidRPr="00011687" w:rsidRDefault="00BB2580" w:rsidP="00BB2580">
      <w:pPr>
        <w:tabs>
          <w:tab w:val="left" w:pos="2160"/>
        </w:tabs>
        <w:ind w:left="2160" w:hanging="720"/>
        <w:rPr>
          <w:rFonts w:ascii="Arial" w:hAnsi="Arial" w:cs="Arial"/>
        </w:rPr>
      </w:pPr>
    </w:p>
    <w:p w:rsidR="00BB2580" w:rsidRPr="00011687" w:rsidRDefault="00BB2580" w:rsidP="00DB3C4D">
      <w:pPr>
        <w:tabs>
          <w:tab w:val="left" w:pos="2160"/>
        </w:tabs>
        <w:ind w:left="2160" w:hanging="720"/>
        <w:jc w:val="both"/>
        <w:rPr>
          <w:rFonts w:ascii="Arial" w:hAnsi="Arial" w:cs="Arial"/>
        </w:rPr>
      </w:pPr>
      <w:r>
        <w:rPr>
          <w:rFonts w:ascii="Arial" w:hAnsi="Arial" w:cs="Arial"/>
        </w:rPr>
        <w:tab/>
      </w:r>
      <w:r w:rsidRPr="00011687">
        <w:rPr>
          <w:rFonts w:ascii="Arial" w:hAnsi="Arial" w:cs="Arial"/>
        </w:rPr>
        <w:t>(</w:t>
      </w:r>
      <w:r>
        <w:rPr>
          <w:rFonts w:ascii="Arial" w:hAnsi="Arial" w:cs="Arial"/>
        </w:rPr>
        <w:t>ii</w:t>
      </w:r>
      <w:r w:rsidRPr="00011687">
        <w:rPr>
          <w:rFonts w:ascii="Arial" w:hAnsi="Arial" w:cs="Arial"/>
        </w:rPr>
        <w:t>)</w:t>
      </w:r>
      <w:r w:rsidRPr="00011687">
        <w:rPr>
          <w:rFonts w:ascii="Arial" w:hAnsi="Arial" w:cs="Arial"/>
        </w:rPr>
        <w:tab/>
        <w:t xml:space="preserve">If at any time the Issuer of a Letter of Credit held by Lender ceases to be an Eligible Institution, Lender will have the right to immediately draw down the Letter of Credit in full and hold the Proceeds in an escrow account in accordance with the terms of </w:t>
      </w:r>
      <w:r>
        <w:rPr>
          <w:rFonts w:ascii="Arial" w:hAnsi="Arial" w:cs="Arial"/>
        </w:rPr>
        <w:t>the</w:t>
      </w:r>
      <w:r w:rsidRPr="00011687">
        <w:rPr>
          <w:rFonts w:ascii="Arial" w:hAnsi="Arial" w:cs="Arial"/>
        </w:rPr>
        <w:t xml:space="preserve"> Loan Agreement.</w:t>
      </w:r>
    </w:p>
    <w:p w:rsidR="00BB2580" w:rsidRPr="00011687" w:rsidRDefault="00BB2580" w:rsidP="00BB2580">
      <w:pPr>
        <w:pStyle w:val="ExDStdProvsNormal"/>
        <w:tabs>
          <w:tab w:val="left" w:pos="2160"/>
        </w:tabs>
        <w:rPr>
          <w:rFonts w:ascii="Arial" w:hAnsi="Arial" w:cs="Arial"/>
          <w:sz w:val="20"/>
          <w:szCs w:val="20"/>
        </w:rPr>
      </w:pPr>
    </w:p>
    <w:p w:rsidR="00BB2580" w:rsidRPr="00011687" w:rsidRDefault="00BB2580" w:rsidP="00BB2580">
      <w:pPr>
        <w:pStyle w:val="ExDStdProvsNormal"/>
        <w:ind w:left="2160" w:hanging="720"/>
        <w:rPr>
          <w:rFonts w:ascii="Arial" w:hAnsi="Arial" w:cs="Arial"/>
          <w:sz w:val="20"/>
          <w:szCs w:val="20"/>
        </w:rPr>
      </w:pPr>
    </w:p>
    <w:p w:rsidR="00BB2580" w:rsidRPr="00957CC9" w:rsidRDefault="00BB2580" w:rsidP="00B84612">
      <w:pPr>
        <w:pStyle w:val="ExDStdProvsNormal"/>
        <w:ind w:left="2160" w:hanging="720"/>
        <w:rPr>
          <w:rFonts w:ascii="Arial" w:hAnsi="Arial" w:cs="Arial"/>
          <w:sz w:val="20"/>
          <w:szCs w:val="20"/>
        </w:rPr>
      </w:pPr>
    </w:p>
    <w:p w:rsidR="00F56B45" w:rsidRPr="00B9217D" w:rsidRDefault="00F56B45" w:rsidP="003E2C11">
      <w:pPr>
        <w:rPr>
          <w:sz w:val="24"/>
          <w:szCs w:val="24"/>
        </w:rPr>
      </w:pPr>
    </w:p>
    <w:sectPr w:rsidR="00F56B45" w:rsidRPr="00B9217D" w:rsidSect="00ED5D2E">
      <w:footerReference w:type="default" r:id="rId7"/>
      <w:footerReference w:type="first" r:id="rId8"/>
      <w:endnotePr>
        <w:numFmt w:val="decimal"/>
      </w:endnotePr>
      <w:pgSz w:w="12240" w:h="15840" w:code="1"/>
      <w:pgMar w:top="1440" w:right="1440" w:bottom="1440" w:left="1440" w:header="720" w:footer="72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B94" w:rsidRDefault="00123B94">
      <w:r>
        <w:separator/>
      </w:r>
    </w:p>
  </w:endnote>
  <w:endnote w:type="continuationSeparator" w:id="0">
    <w:p w:rsidR="00123B94" w:rsidRDefault="0012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219" w:rsidRPr="00DB3C4D" w:rsidRDefault="00957CC9" w:rsidP="007F483B">
    <w:pPr>
      <w:tabs>
        <w:tab w:val="right" w:pos="9360"/>
      </w:tabs>
      <w:rPr>
        <w:rFonts w:ascii="Arial" w:hAnsi="Arial" w:cs="Arial"/>
        <w:b/>
        <w:sz w:val="16"/>
        <w:szCs w:val="16"/>
      </w:rPr>
    </w:pPr>
    <w:r w:rsidRPr="00DB3C4D">
      <w:rPr>
        <w:rFonts w:ascii="Arial" w:hAnsi="Arial" w:cs="Arial"/>
        <w:b/>
        <w:sz w:val="16"/>
        <w:szCs w:val="16"/>
      </w:rPr>
      <w:t>Guaranty Rider – TAH Express</w:t>
    </w:r>
    <w:r w:rsidR="00502219" w:rsidRPr="00DB3C4D">
      <w:rPr>
        <w:rFonts w:ascii="Arial" w:hAnsi="Arial" w:cs="Arial"/>
        <w:b/>
        <w:sz w:val="16"/>
        <w:szCs w:val="16"/>
      </w:rPr>
      <w:tab/>
      <w:t xml:space="preserve">Page </w:t>
    </w:r>
    <w:r w:rsidR="00502219" w:rsidRPr="00DB3C4D">
      <w:rPr>
        <w:rStyle w:val="PageNumber"/>
        <w:rFonts w:ascii="Arial" w:hAnsi="Arial" w:cs="Arial"/>
        <w:b/>
        <w:sz w:val="16"/>
        <w:szCs w:val="16"/>
      </w:rPr>
      <w:fldChar w:fldCharType="begin"/>
    </w:r>
    <w:r w:rsidR="00502219" w:rsidRPr="00DB3C4D">
      <w:rPr>
        <w:rStyle w:val="PageNumber"/>
        <w:rFonts w:ascii="Arial" w:hAnsi="Arial" w:cs="Arial"/>
        <w:b/>
        <w:sz w:val="16"/>
        <w:szCs w:val="16"/>
      </w:rPr>
      <w:instrText xml:space="preserve"> PAGE </w:instrText>
    </w:r>
    <w:r w:rsidR="00502219" w:rsidRPr="00DB3C4D">
      <w:rPr>
        <w:rStyle w:val="PageNumber"/>
        <w:rFonts w:ascii="Arial" w:hAnsi="Arial" w:cs="Arial"/>
        <w:b/>
        <w:sz w:val="16"/>
        <w:szCs w:val="16"/>
      </w:rPr>
      <w:fldChar w:fldCharType="separate"/>
    </w:r>
    <w:r w:rsidR="003E2C11" w:rsidRPr="00DB3C4D">
      <w:rPr>
        <w:rStyle w:val="PageNumber"/>
        <w:rFonts w:ascii="Arial" w:hAnsi="Arial" w:cs="Arial"/>
        <w:b/>
        <w:noProof/>
        <w:sz w:val="16"/>
        <w:szCs w:val="16"/>
      </w:rPr>
      <w:t>2</w:t>
    </w:r>
    <w:r w:rsidR="00502219" w:rsidRPr="00DB3C4D">
      <w:rPr>
        <w:rStyle w:val="PageNumber"/>
        <w:rFonts w:ascii="Arial" w:hAnsi="Arial" w:cs="Arial"/>
        <w:b/>
        <w:sz w:val="16"/>
        <w:szCs w:val="16"/>
      </w:rPr>
      <w:fldChar w:fldCharType="end"/>
    </w:r>
  </w:p>
  <w:p w:rsidR="00502219" w:rsidRPr="00CC3F23" w:rsidRDefault="00EE7EEC" w:rsidP="001674D2">
    <w:pPr>
      <w:tabs>
        <w:tab w:val="right" w:pos="9360"/>
      </w:tabs>
      <w:rPr>
        <w:b/>
      </w:rPr>
    </w:pPr>
    <w:r w:rsidRPr="00DB3C4D">
      <w:rPr>
        <w:rFonts w:ascii="Arial" w:hAnsi="Arial" w:cs="Arial"/>
        <w:b/>
        <w:sz w:val="16"/>
        <w:szCs w:val="16"/>
      </w:rPr>
      <w:t>Material Adverse Change</w:t>
    </w:r>
    <w:r w:rsidR="00502219" w:rsidRPr="00B9217D">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CC9" w:rsidRPr="00DB3C4D" w:rsidRDefault="00957CC9" w:rsidP="007F483B">
    <w:pPr>
      <w:tabs>
        <w:tab w:val="right" w:pos="9360"/>
      </w:tabs>
      <w:rPr>
        <w:rFonts w:ascii="Arial" w:hAnsi="Arial" w:cs="Arial"/>
        <w:b/>
        <w:sz w:val="16"/>
        <w:szCs w:val="16"/>
      </w:rPr>
    </w:pPr>
    <w:r w:rsidRPr="00DB3C4D">
      <w:rPr>
        <w:rFonts w:ascii="Arial" w:hAnsi="Arial" w:cs="Arial"/>
        <w:b/>
        <w:sz w:val="16"/>
        <w:szCs w:val="16"/>
      </w:rPr>
      <w:t xml:space="preserve">Guaranty Rider – TAH Express </w:t>
    </w:r>
  </w:p>
  <w:p w:rsidR="00502219" w:rsidRPr="00EE7EEC" w:rsidRDefault="00EE7EEC" w:rsidP="007F483B">
    <w:pPr>
      <w:tabs>
        <w:tab w:val="right" w:pos="9360"/>
      </w:tabs>
      <w:rPr>
        <w:b/>
      </w:rPr>
    </w:pPr>
    <w:r w:rsidRPr="00DB3C4D">
      <w:rPr>
        <w:rFonts w:ascii="Arial" w:hAnsi="Arial" w:cs="Arial"/>
        <w:b/>
        <w:sz w:val="16"/>
        <w:szCs w:val="16"/>
      </w:rPr>
      <w:t>Material Adverse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B94" w:rsidRDefault="00123B94">
      <w:r>
        <w:separator/>
      </w:r>
    </w:p>
  </w:footnote>
  <w:footnote w:type="continuationSeparator" w:id="0">
    <w:p w:rsidR="00123B94" w:rsidRDefault="00123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45"/>
    <w:rsid w:val="000249CD"/>
    <w:rsid w:val="00034A97"/>
    <w:rsid w:val="000463EF"/>
    <w:rsid w:val="00070666"/>
    <w:rsid w:val="00080C88"/>
    <w:rsid w:val="00081CBD"/>
    <w:rsid w:val="000C7931"/>
    <w:rsid w:val="001178D4"/>
    <w:rsid w:val="00117B2F"/>
    <w:rsid w:val="00123B94"/>
    <w:rsid w:val="00143FB7"/>
    <w:rsid w:val="001674D2"/>
    <w:rsid w:val="0017552D"/>
    <w:rsid w:val="00191013"/>
    <w:rsid w:val="001A4BA9"/>
    <w:rsid w:val="001E36E0"/>
    <w:rsid w:val="001E71BD"/>
    <w:rsid w:val="001F0FA7"/>
    <w:rsid w:val="001F6CBE"/>
    <w:rsid w:val="0022048B"/>
    <w:rsid w:val="002331BF"/>
    <w:rsid w:val="002706DD"/>
    <w:rsid w:val="00276379"/>
    <w:rsid w:val="002F50C4"/>
    <w:rsid w:val="00304358"/>
    <w:rsid w:val="003324B0"/>
    <w:rsid w:val="003412D9"/>
    <w:rsid w:val="00341FD8"/>
    <w:rsid w:val="00350519"/>
    <w:rsid w:val="003637BC"/>
    <w:rsid w:val="00385DFE"/>
    <w:rsid w:val="003A3BB3"/>
    <w:rsid w:val="003C1FEB"/>
    <w:rsid w:val="003D4070"/>
    <w:rsid w:val="003E2C11"/>
    <w:rsid w:val="003E4381"/>
    <w:rsid w:val="003E69C6"/>
    <w:rsid w:val="003E71B1"/>
    <w:rsid w:val="004606C6"/>
    <w:rsid w:val="00477AFD"/>
    <w:rsid w:val="004850A2"/>
    <w:rsid w:val="004A102F"/>
    <w:rsid w:val="004A2DD5"/>
    <w:rsid w:val="004B0B9F"/>
    <w:rsid w:val="004D445C"/>
    <w:rsid w:val="004E6B06"/>
    <w:rsid w:val="00502219"/>
    <w:rsid w:val="00504943"/>
    <w:rsid w:val="00532756"/>
    <w:rsid w:val="00552DBB"/>
    <w:rsid w:val="0057400E"/>
    <w:rsid w:val="005C6FCD"/>
    <w:rsid w:val="005D0E01"/>
    <w:rsid w:val="00601A8B"/>
    <w:rsid w:val="006050E5"/>
    <w:rsid w:val="006349FE"/>
    <w:rsid w:val="0066239F"/>
    <w:rsid w:val="00697450"/>
    <w:rsid w:val="006A7DCB"/>
    <w:rsid w:val="006B453A"/>
    <w:rsid w:val="006C7E54"/>
    <w:rsid w:val="006E24A6"/>
    <w:rsid w:val="006F10A8"/>
    <w:rsid w:val="007042B1"/>
    <w:rsid w:val="00746DD3"/>
    <w:rsid w:val="007559A9"/>
    <w:rsid w:val="00773EBB"/>
    <w:rsid w:val="0078115A"/>
    <w:rsid w:val="007D05C6"/>
    <w:rsid w:val="007D5F31"/>
    <w:rsid w:val="007F483B"/>
    <w:rsid w:val="00874DD4"/>
    <w:rsid w:val="00880484"/>
    <w:rsid w:val="008B36B6"/>
    <w:rsid w:val="008C2916"/>
    <w:rsid w:val="008F616D"/>
    <w:rsid w:val="00910DE4"/>
    <w:rsid w:val="00933BAF"/>
    <w:rsid w:val="00934351"/>
    <w:rsid w:val="00954C4B"/>
    <w:rsid w:val="00957CC9"/>
    <w:rsid w:val="009A499B"/>
    <w:rsid w:val="009E2E04"/>
    <w:rsid w:val="00A452F7"/>
    <w:rsid w:val="00A51AB6"/>
    <w:rsid w:val="00A735CB"/>
    <w:rsid w:val="00A94739"/>
    <w:rsid w:val="00AA0915"/>
    <w:rsid w:val="00AB4C75"/>
    <w:rsid w:val="00AC3D6C"/>
    <w:rsid w:val="00AC6627"/>
    <w:rsid w:val="00AE1946"/>
    <w:rsid w:val="00B04927"/>
    <w:rsid w:val="00B1315D"/>
    <w:rsid w:val="00B16F13"/>
    <w:rsid w:val="00B32F7F"/>
    <w:rsid w:val="00B738FC"/>
    <w:rsid w:val="00B81452"/>
    <w:rsid w:val="00B84612"/>
    <w:rsid w:val="00B9217D"/>
    <w:rsid w:val="00BA041D"/>
    <w:rsid w:val="00BB22D2"/>
    <w:rsid w:val="00BB2580"/>
    <w:rsid w:val="00C00317"/>
    <w:rsid w:val="00C0309F"/>
    <w:rsid w:val="00C07F50"/>
    <w:rsid w:val="00C126F4"/>
    <w:rsid w:val="00C6157A"/>
    <w:rsid w:val="00C70C04"/>
    <w:rsid w:val="00CC3F23"/>
    <w:rsid w:val="00CD7CAE"/>
    <w:rsid w:val="00CF2C44"/>
    <w:rsid w:val="00CF59E5"/>
    <w:rsid w:val="00D2487A"/>
    <w:rsid w:val="00D94628"/>
    <w:rsid w:val="00DB3C4D"/>
    <w:rsid w:val="00DE4B3E"/>
    <w:rsid w:val="00DF1705"/>
    <w:rsid w:val="00E01AF8"/>
    <w:rsid w:val="00E205D8"/>
    <w:rsid w:val="00E23576"/>
    <w:rsid w:val="00E33F21"/>
    <w:rsid w:val="00E64B10"/>
    <w:rsid w:val="00E71AC7"/>
    <w:rsid w:val="00E835CF"/>
    <w:rsid w:val="00E84F62"/>
    <w:rsid w:val="00EA6078"/>
    <w:rsid w:val="00EC2497"/>
    <w:rsid w:val="00ED5CD2"/>
    <w:rsid w:val="00ED5D2E"/>
    <w:rsid w:val="00ED6061"/>
    <w:rsid w:val="00EE7EEC"/>
    <w:rsid w:val="00EF20D1"/>
    <w:rsid w:val="00F06606"/>
    <w:rsid w:val="00F07287"/>
    <w:rsid w:val="00F124E9"/>
    <w:rsid w:val="00F167F8"/>
    <w:rsid w:val="00F25066"/>
    <w:rsid w:val="00F42EEA"/>
    <w:rsid w:val="00F51AEA"/>
    <w:rsid w:val="00F52B71"/>
    <w:rsid w:val="00F56B45"/>
    <w:rsid w:val="00F72CBC"/>
    <w:rsid w:val="00F732C7"/>
    <w:rsid w:val="00F77995"/>
    <w:rsid w:val="00F9300F"/>
    <w:rsid w:val="00FB7895"/>
    <w:rsid w:val="00FC1E56"/>
    <w:rsid w:val="00FC5A79"/>
    <w:rsid w:val="00FD6B7A"/>
    <w:rsid w:val="00FE6848"/>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B4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DStdProvsNormal">
    <w:name w:val="ExDStdProvsNormal"/>
    <w:rsid w:val="00F56B45"/>
    <w:rPr>
      <w:sz w:val="24"/>
      <w:szCs w:val="24"/>
    </w:rPr>
  </w:style>
  <w:style w:type="paragraph" w:styleId="Header">
    <w:name w:val="header"/>
    <w:basedOn w:val="Normal"/>
    <w:rsid w:val="00880484"/>
    <w:pPr>
      <w:tabs>
        <w:tab w:val="center" w:pos="4320"/>
        <w:tab w:val="right" w:pos="8640"/>
      </w:tabs>
    </w:pPr>
  </w:style>
  <w:style w:type="paragraph" w:styleId="Footer">
    <w:name w:val="footer"/>
    <w:basedOn w:val="Normal"/>
    <w:rsid w:val="00880484"/>
    <w:pPr>
      <w:tabs>
        <w:tab w:val="center" w:pos="4320"/>
        <w:tab w:val="right" w:pos="8640"/>
      </w:tabs>
    </w:pPr>
  </w:style>
  <w:style w:type="paragraph" w:styleId="BalloonText">
    <w:name w:val="Balloon Text"/>
    <w:basedOn w:val="Normal"/>
    <w:semiHidden/>
    <w:rsid w:val="004A2DD5"/>
    <w:rPr>
      <w:rFonts w:ascii="Tahoma" w:hAnsi="Tahoma" w:cs="Tahoma"/>
      <w:sz w:val="16"/>
      <w:szCs w:val="16"/>
    </w:rPr>
  </w:style>
  <w:style w:type="character" w:styleId="Hyperlink">
    <w:name w:val="Hyperlink"/>
    <w:rsid w:val="0017552D"/>
    <w:rPr>
      <w:color w:val="0000FF"/>
      <w:u w:val="single"/>
    </w:rPr>
  </w:style>
  <w:style w:type="character" w:styleId="PageNumber">
    <w:name w:val="page number"/>
    <w:basedOn w:val="DefaultParagraphFont"/>
    <w:rsid w:val="00B9217D"/>
  </w:style>
  <w:style w:type="character" w:customStyle="1" w:styleId="DeltaViewInsertion">
    <w:name w:val="DeltaView Insertion"/>
    <w:rsid w:val="00BB2580"/>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2019-05-17T16:12:00Z</dcterms:created>
  <dcterms:modified xsi:type="dcterms:W3CDTF">2019-05-17T16:12:00Z</dcterms:modified>
</cp:coreProperties>
</file>