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3CCA" w14:textId="0F689AFA" w:rsidR="000A1DF9" w:rsidRPr="00D912D0" w:rsidRDefault="000A1DF9" w:rsidP="00D912D0">
      <w:pPr>
        <w:jc w:val="center"/>
        <w:rPr>
          <w:rFonts w:cs="Arial"/>
          <w:b/>
          <w:sz w:val="24"/>
          <w:szCs w:val="24"/>
        </w:rPr>
      </w:pPr>
      <w:r w:rsidRPr="00D912D0">
        <w:rPr>
          <w:rFonts w:cs="Arial"/>
          <w:b/>
          <w:sz w:val="24"/>
          <w:szCs w:val="24"/>
        </w:rPr>
        <w:t xml:space="preserve">Rider to </w:t>
      </w:r>
      <w:r w:rsidR="00D92550" w:rsidRPr="00D912D0">
        <w:rPr>
          <w:rFonts w:cs="Arial"/>
          <w:b/>
          <w:sz w:val="24"/>
          <w:szCs w:val="24"/>
        </w:rPr>
        <w:t>Loan Agreement</w:t>
      </w:r>
    </w:p>
    <w:p w14:paraId="389BDD4A" w14:textId="45D97BE2" w:rsidR="00E73FB7" w:rsidRPr="00D912D0" w:rsidRDefault="00F8515D" w:rsidP="00D912D0">
      <w:pPr>
        <w:jc w:val="center"/>
        <w:rPr>
          <w:rFonts w:cs="Arial"/>
          <w:b/>
          <w:sz w:val="24"/>
          <w:szCs w:val="24"/>
        </w:rPr>
      </w:pPr>
      <w:r w:rsidRPr="00D912D0">
        <w:rPr>
          <w:rFonts w:cs="Arial"/>
          <w:b/>
          <w:sz w:val="24"/>
          <w:szCs w:val="24"/>
        </w:rPr>
        <w:t>Lease-</w:t>
      </w:r>
      <w:r w:rsidR="00BF7B1D" w:rsidRPr="00D912D0">
        <w:rPr>
          <w:rFonts w:cs="Arial"/>
          <w:b/>
          <w:sz w:val="24"/>
          <w:szCs w:val="24"/>
        </w:rPr>
        <w:t>U</w:t>
      </w:r>
      <w:r w:rsidRPr="00D912D0">
        <w:rPr>
          <w:rFonts w:cs="Arial"/>
          <w:b/>
          <w:sz w:val="24"/>
          <w:szCs w:val="24"/>
        </w:rPr>
        <w:t xml:space="preserve">p Transaction </w:t>
      </w:r>
      <w:r w:rsidR="00BF7B1D" w:rsidRPr="00D912D0">
        <w:rPr>
          <w:rFonts w:cs="Arial"/>
          <w:b/>
          <w:sz w:val="24"/>
          <w:szCs w:val="24"/>
        </w:rPr>
        <w:t xml:space="preserve">- </w:t>
      </w:r>
      <w:r w:rsidRPr="00D912D0">
        <w:rPr>
          <w:rFonts w:cs="Arial"/>
          <w:b/>
          <w:sz w:val="24"/>
          <w:szCs w:val="24"/>
        </w:rPr>
        <w:t>No Credit Enhancement Required</w:t>
      </w:r>
    </w:p>
    <w:p w14:paraId="64BA05C5" w14:textId="73056EA2" w:rsidR="00E73FB7" w:rsidRPr="00D912D0" w:rsidRDefault="00E73FB7" w:rsidP="00D912D0">
      <w:pPr>
        <w:jc w:val="center"/>
        <w:rPr>
          <w:rFonts w:cs="Arial"/>
          <w:bCs/>
        </w:rPr>
      </w:pPr>
      <w:r w:rsidRPr="00D912D0">
        <w:rPr>
          <w:rFonts w:cs="Arial"/>
          <w:bCs/>
        </w:rPr>
        <w:t xml:space="preserve">(Revised </w:t>
      </w:r>
      <w:r w:rsidR="005F7BE9">
        <w:rPr>
          <w:rFonts w:cs="Arial"/>
          <w:bCs/>
        </w:rPr>
        <w:t>6</w:t>
      </w:r>
      <w:r w:rsidR="005F7BE9" w:rsidRPr="00D912D0">
        <w:rPr>
          <w:rFonts w:cs="Arial"/>
          <w:bCs/>
        </w:rPr>
        <w:t>-</w:t>
      </w:r>
      <w:r w:rsidR="005F7BE9">
        <w:rPr>
          <w:rFonts w:cs="Arial"/>
          <w:bCs/>
        </w:rPr>
        <w:t>14</w:t>
      </w:r>
      <w:r w:rsidR="005F7BE9" w:rsidRPr="00D912D0">
        <w:rPr>
          <w:rFonts w:cs="Arial"/>
          <w:bCs/>
        </w:rPr>
        <w:t>-</w:t>
      </w:r>
      <w:r w:rsidR="00147E71" w:rsidRPr="00D912D0">
        <w:rPr>
          <w:rFonts w:cs="Arial"/>
          <w:bCs/>
        </w:rPr>
        <w:t>2022</w:t>
      </w:r>
      <w:r w:rsidRPr="00D912D0">
        <w:rPr>
          <w:rFonts w:cs="Arial"/>
          <w:bCs/>
        </w:rPr>
        <w:t>)</w:t>
      </w:r>
    </w:p>
    <w:p w14:paraId="07452B4C" w14:textId="75E5E4E2" w:rsidR="00085C81" w:rsidRDefault="00085C81" w:rsidP="00E73FB7">
      <w:pPr>
        <w:rPr>
          <w:rFonts w:cs="Arial"/>
          <w:bCs/>
          <w:sz w:val="24"/>
          <w:szCs w:val="24"/>
        </w:rPr>
      </w:pPr>
    </w:p>
    <w:p w14:paraId="0F8AAB7D" w14:textId="77777777" w:rsidR="005F7BE9" w:rsidRPr="00346FAC" w:rsidRDefault="005F7BE9" w:rsidP="00E73FB7">
      <w:pPr>
        <w:rPr>
          <w:rFonts w:cs="Arial"/>
          <w:bCs/>
          <w:sz w:val="24"/>
          <w:szCs w:val="24"/>
        </w:rPr>
      </w:pPr>
    </w:p>
    <w:p w14:paraId="713EBC7B" w14:textId="1A2DCC10" w:rsidR="00BF7B1D" w:rsidRPr="00346FAC" w:rsidRDefault="00BF7B1D" w:rsidP="00BF7B1D">
      <w:pPr>
        <w:tabs>
          <w:tab w:val="left" w:pos="-1440"/>
          <w:tab w:val="left" w:pos="-720"/>
          <w:tab w:val="left" w:pos="2880"/>
          <w:tab w:val="left" w:pos="3600"/>
          <w:tab w:val="left" w:pos="4320"/>
          <w:tab w:val="left" w:pos="5040"/>
          <w:tab w:val="left" w:pos="5760"/>
          <w:tab w:val="left" w:pos="6340"/>
          <w:tab w:val="left" w:pos="6480"/>
        </w:tabs>
        <w:suppressAutoHyphens/>
        <w:overflowPunct w:val="0"/>
        <w:autoSpaceDE w:val="0"/>
        <w:autoSpaceDN w:val="0"/>
        <w:adjustRightInd w:val="0"/>
        <w:textAlignment w:val="baseline"/>
        <w:rPr>
          <w:rFonts w:cs="Arial"/>
        </w:rPr>
      </w:pPr>
      <w:r w:rsidRPr="00346FAC">
        <w:rPr>
          <w:rFonts w:cs="Arial"/>
        </w:rPr>
        <w:t xml:space="preserve">The following changes are made to the Loan Agreement </w:t>
      </w:r>
      <w:r w:rsidR="00D912D0">
        <w:rPr>
          <w:rFonts w:cs="Arial"/>
        </w:rPr>
        <w:t xml:space="preserve">that </w:t>
      </w:r>
      <w:r w:rsidRPr="00346FAC">
        <w:rPr>
          <w:rFonts w:cs="Arial"/>
        </w:rPr>
        <w:t>precedes this Rider:</w:t>
      </w:r>
    </w:p>
    <w:p w14:paraId="3FB58334" w14:textId="77777777" w:rsidR="00BF7B1D" w:rsidRPr="00346FAC" w:rsidRDefault="00BF7B1D" w:rsidP="00E73FB7">
      <w:pPr>
        <w:rPr>
          <w:rFonts w:cs="Arial"/>
          <w:bCs/>
          <w:sz w:val="24"/>
          <w:szCs w:val="24"/>
        </w:rPr>
      </w:pPr>
    </w:p>
    <w:p w14:paraId="0C766A59" w14:textId="69FA5475" w:rsidR="00085C81" w:rsidRPr="003373D3" w:rsidRDefault="00BF7B1D" w:rsidP="00085C81">
      <w:pPr>
        <w:shd w:val="clear" w:color="auto" w:fill="FFFFFF"/>
        <w:tabs>
          <w:tab w:val="left" w:pos="720"/>
          <w:tab w:val="left" w:pos="1080"/>
          <w:tab w:val="left" w:pos="1440"/>
        </w:tabs>
        <w:rPr>
          <w:rFonts w:cs="Arial"/>
        </w:rPr>
      </w:pPr>
      <w:r w:rsidRPr="003373D3">
        <w:rPr>
          <w:rFonts w:cs="Arial"/>
        </w:rPr>
        <w:t>A.</w:t>
      </w:r>
      <w:r w:rsidRPr="003373D3">
        <w:rPr>
          <w:rFonts w:cs="Arial"/>
        </w:rPr>
        <w:tab/>
      </w:r>
      <w:r w:rsidR="00085C81" w:rsidRPr="003373D3">
        <w:rPr>
          <w:rFonts w:cs="Arial"/>
        </w:rPr>
        <w:t xml:space="preserve">The following table is added to </w:t>
      </w:r>
      <w:r w:rsidR="00D912D0">
        <w:rPr>
          <w:rFonts w:cs="Arial"/>
        </w:rPr>
        <w:t>Section 1.05</w:t>
      </w:r>
      <w:r w:rsidR="00085C81" w:rsidRPr="003373D3">
        <w:rPr>
          <w:rFonts w:cs="Arial"/>
        </w:rPr>
        <w:t>:</w:t>
      </w:r>
    </w:p>
    <w:p w14:paraId="7AF82FD4" w14:textId="37E9F612" w:rsidR="00F8515D" w:rsidRPr="003373D3" w:rsidRDefault="006946FC" w:rsidP="00F8515D">
      <w:pPr>
        <w:shd w:val="clear" w:color="auto" w:fill="FFFFFF"/>
        <w:tabs>
          <w:tab w:val="left" w:pos="360"/>
          <w:tab w:val="left" w:pos="720"/>
          <w:tab w:val="left" w:pos="1080"/>
          <w:tab w:val="left" w:pos="1440"/>
        </w:tabs>
        <w:overflowPunct w:val="0"/>
        <w:autoSpaceDE w:val="0"/>
        <w:autoSpaceDN w:val="0"/>
        <w:adjustRightInd w:val="0"/>
        <w:textAlignment w:val="baseline"/>
        <w:rPr>
          <w:rFonts w:cs="Arial"/>
          <w:b/>
        </w:rPr>
      </w:pPr>
      <w:r w:rsidRPr="003373D3" w:rsidDel="003530CF">
        <w:rPr>
          <w:rFonts w:cs="Arial"/>
          <w:b/>
        </w:rPr>
        <w:t xml:space="preserve"> </w:t>
      </w: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5"/>
      </w:tblGrid>
      <w:tr w:rsidR="00313001" w:rsidRPr="003373D3" w14:paraId="1B6CCE7A" w14:textId="77777777" w:rsidTr="006D745F">
        <w:trPr>
          <w:trHeight w:val="80"/>
        </w:trPr>
        <w:tc>
          <w:tcPr>
            <w:tcW w:w="10265" w:type="dxa"/>
            <w:tcBorders>
              <w:top w:val="single" w:sz="4" w:space="0" w:color="auto"/>
              <w:left w:val="single" w:sz="4" w:space="0" w:color="auto"/>
              <w:bottom w:val="single" w:sz="4" w:space="0" w:color="auto"/>
              <w:right w:val="single" w:sz="4" w:space="0" w:color="auto"/>
            </w:tcBorders>
            <w:shd w:val="clear" w:color="auto" w:fill="D0CECE"/>
            <w:vAlign w:val="center"/>
          </w:tcPr>
          <w:p w14:paraId="19DBAC47" w14:textId="6F758928" w:rsidR="00313001" w:rsidRPr="003373D3" w:rsidRDefault="00313001" w:rsidP="006D745F">
            <w:pPr>
              <w:spacing w:before="20" w:after="20"/>
              <w:rPr>
                <w:rFonts w:eastAsia="MS Gothic" w:cs="Arial"/>
                <w:b/>
                <w:bCs/>
                <w:iCs/>
              </w:rPr>
            </w:pPr>
            <w:bookmarkStart w:id="0" w:name="_Hlk87882945"/>
            <w:r w:rsidRPr="003373D3">
              <w:rPr>
                <w:rFonts w:cs="Arial"/>
                <w:b/>
              </w:rPr>
              <w:t xml:space="preserve">Lease-Up Transaction – No Credit Enhancement Required                                                                                         </w:t>
            </w:r>
          </w:p>
        </w:tc>
      </w:tr>
      <w:tr w:rsidR="00313001" w:rsidRPr="003373D3" w14:paraId="1E20E60D" w14:textId="77777777" w:rsidTr="006D745F">
        <w:trPr>
          <w:trHeight w:val="260"/>
        </w:trPr>
        <w:tc>
          <w:tcPr>
            <w:tcW w:w="10265" w:type="dxa"/>
            <w:tcBorders>
              <w:bottom w:val="nil"/>
            </w:tcBorders>
            <w:shd w:val="clear" w:color="auto" w:fill="auto"/>
          </w:tcPr>
          <w:p w14:paraId="3839D804" w14:textId="304479ED" w:rsidR="00313001" w:rsidRPr="003373D3" w:rsidRDefault="00313001" w:rsidP="00313001">
            <w:pPr>
              <w:pStyle w:val="BodyTextIndent2"/>
              <w:spacing w:before="80" w:after="80" w:line="240" w:lineRule="auto"/>
              <w:ind w:left="0"/>
              <w:rPr>
                <w:rFonts w:cs="Arial"/>
                <w:color w:val="000000"/>
              </w:rPr>
            </w:pPr>
            <w:r w:rsidRPr="003373D3">
              <w:rPr>
                <w:rFonts w:cs="Arial"/>
                <w:bCs/>
              </w:rPr>
              <w:t>Minimum DCR: ____:1.00, based on trailing 3-month (T-3) collections and T-3 Expenses, a ___-year amortization schedule, and if the Loan has a floating interest rate, an annual interest rate of ________%</w:t>
            </w:r>
          </w:p>
        </w:tc>
      </w:tr>
      <w:tr w:rsidR="00313001" w14:paraId="2817B56A" w14:textId="77777777" w:rsidTr="006D745F">
        <w:trPr>
          <w:trHeight w:val="260"/>
        </w:trPr>
        <w:tc>
          <w:tcPr>
            <w:tcW w:w="10265" w:type="dxa"/>
            <w:tcBorders>
              <w:bottom w:val="nil"/>
            </w:tcBorders>
            <w:shd w:val="clear" w:color="auto" w:fill="auto"/>
          </w:tcPr>
          <w:p w14:paraId="6F2636F8" w14:textId="4E88781B" w:rsidR="00313001" w:rsidRPr="00F20F7F" w:rsidRDefault="00313001" w:rsidP="00313001">
            <w:pPr>
              <w:spacing w:before="80" w:after="80"/>
              <w:rPr>
                <w:rFonts w:eastAsia="MS Gothic" w:cs="Arial"/>
                <w:b/>
                <w:bCs/>
              </w:rPr>
            </w:pPr>
            <w:r w:rsidRPr="003373D3">
              <w:rPr>
                <w:rFonts w:cs="Arial"/>
                <w:bCs/>
              </w:rPr>
              <w:t xml:space="preserve">Minimum NRI: $__________, based on trailing 1-month </w:t>
            </w:r>
            <w:r w:rsidR="00D912D0">
              <w:rPr>
                <w:rFonts w:cs="Arial"/>
                <w:bCs/>
              </w:rPr>
              <w:t xml:space="preserve">(T-1) </w:t>
            </w:r>
            <w:r w:rsidRPr="003373D3">
              <w:rPr>
                <w:rFonts w:cs="Arial"/>
                <w:bCs/>
              </w:rPr>
              <w:t>collections</w:t>
            </w:r>
          </w:p>
        </w:tc>
      </w:tr>
      <w:tr w:rsidR="00313001" w14:paraId="0850F71A" w14:textId="77777777" w:rsidTr="006D745F">
        <w:trPr>
          <w:trHeight w:val="260"/>
        </w:trPr>
        <w:tc>
          <w:tcPr>
            <w:tcW w:w="10265" w:type="dxa"/>
            <w:tcBorders>
              <w:bottom w:val="nil"/>
            </w:tcBorders>
            <w:shd w:val="clear" w:color="auto" w:fill="auto"/>
          </w:tcPr>
          <w:p w14:paraId="1F57D9F3" w14:textId="31A3AF18" w:rsidR="00313001" w:rsidRPr="00F20F7F" w:rsidRDefault="00313001" w:rsidP="00313001">
            <w:pPr>
              <w:spacing w:before="80" w:after="80"/>
              <w:rPr>
                <w:rFonts w:eastAsia="MS Gothic" w:cs="Arial"/>
                <w:bCs/>
              </w:rPr>
            </w:pPr>
            <w:r w:rsidRPr="007A323C">
              <w:rPr>
                <w:rFonts w:cs="Arial"/>
                <w:bCs/>
              </w:rPr>
              <w:t>Underwritten Acceptable Other Income: $_________</w:t>
            </w:r>
          </w:p>
        </w:tc>
      </w:tr>
      <w:tr w:rsidR="00313001" w14:paraId="1DC5ED22" w14:textId="77777777" w:rsidTr="006D745F">
        <w:trPr>
          <w:trHeight w:val="260"/>
        </w:trPr>
        <w:tc>
          <w:tcPr>
            <w:tcW w:w="10265" w:type="dxa"/>
            <w:tcBorders>
              <w:bottom w:val="nil"/>
            </w:tcBorders>
            <w:shd w:val="clear" w:color="auto" w:fill="auto"/>
          </w:tcPr>
          <w:p w14:paraId="7F8EA110" w14:textId="6F80FAB1" w:rsidR="00313001" w:rsidRPr="00F20F7F" w:rsidRDefault="00313001" w:rsidP="00313001">
            <w:pPr>
              <w:spacing w:before="80" w:after="80"/>
              <w:rPr>
                <w:rFonts w:eastAsia="MS Gothic" w:cs="Arial"/>
                <w:bCs/>
              </w:rPr>
            </w:pPr>
            <w:r w:rsidRPr="007A323C">
              <w:rPr>
                <w:rFonts w:cs="Arial"/>
                <w:bCs/>
              </w:rPr>
              <w:t>Underwritten Fixed Expenses: $_________</w:t>
            </w:r>
          </w:p>
        </w:tc>
      </w:tr>
      <w:tr w:rsidR="00313001" w14:paraId="6A7CE9D5" w14:textId="77777777" w:rsidTr="006D745F">
        <w:trPr>
          <w:trHeight w:val="260"/>
        </w:trPr>
        <w:tc>
          <w:tcPr>
            <w:tcW w:w="10265" w:type="dxa"/>
            <w:tcBorders>
              <w:bottom w:val="nil"/>
            </w:tcBorders>
            <w:shd w:val="clear" w:color="auto" w:fill="auto"/>
          </w:tcPr>
          <w:p w14:paraId="69F155FE" w14:textId="421E4360" w:rsidR="00313001" w:rsidRPr="00F20F7F" w:rsidRDefault="00313001" w:rsidP="00313001">
            <w:pPr>
              <w:spacing w:before="80" w:after="80"/>
              <w:rPr>
                <w:rFonts w:eastAsia="MS Gothic" w:cs="Arial"/>
                <w:bCs/>
              </w:rPr>
            </w:pPr>
            <w:r w:rsidRPr="007A323C">
              <w:rPr>
                <w:rFonts w:cs="Arial"/>
                <w:bCs/>
              </w:rPr>
              <w:t>Underwritten Management Fee: ________% of Effective Gross Income</w:t>
            </w:r>
          </w:p>
        </w:tc>
      </w:tr>
      <w:tr w:rsidR="00313001" w14:paraId="766B4E4C" w14:textId="77777777" w:rsidTr="006D745F">
        <w:trPr>
          <w:trHeight w:val="260"/>
        </w:trPr>
        <w:tc>
          <w:tcPr>
            <w:tcW w:w="10265" w:type="dxa"/>
            <w:tcBorders>
              <w:bottom w:val="nil"/>
            </w:tcBorders>
            <w:shd w:val="clear" w:color="auto" w:fill="auto"/>
          </w:tcPr>
          <w:p w14:paraId="4C2D06D1" w14:textId="1E0B8315" w:rsidR="00313001" w:rsidRPr="00F20F7F" w:rsidRDefault="00313001" w:rsidP="00313001">
            <w:pPr>
              <w:spacing w:before="80" w:after="80"/>
              <w:rPr>
                <w:rFonts w:eastAsia="MS Gothic" w:cs="Arial"/>
                <w:bCs/>
              </w:rPr>
            </w:pPr>
            <w:r w:rsidRPr="007A323C">
              <w:rPr>
                <w:rFonts w:cs="Arial"/>
                <w:bCs/>
              </w:rPr>
              <w:t>Underwritten Operating Expenses: $_________, which includes the Underwritten Management Fee</w:t>
            </w:r>
          </w:p>
        </w:tc>
      </w:tr>
      <w:tr w:rsidR="00313001" w14:paraId="3EC78FF8" w14:textId="77777777" w:rsidTr="006D745F">
        <w:trPr>
          <w:trHeight w:val="80"/>
        </w:trPr>
        <w:tc>
          <w:tcPr>
            <w:tcW w:w="10265" w:type="dxa"/>
            <w:vAlign w:val="center"/>
          </w:tcPr>
          <w:p w14:paraId="30977DF3" w14:textId="4CD1EC3D" w:rsidR="00313001" w:rsidRPr="00F20F7F" w:rsidRDefault="00313001" w:rsidP="006D745F">
            <w:pPr>
              <w:pStyle w:val="CoverPageLoanNumberandName"/>
              <w:shd w:val="clear" w:color="auto" w:fill="FFFFFF"/>
              <w:spacing w:after="0"/>
              <w:ind w:left="259" w:hanging="259"/>
              <w:jc w:val="left"/>
              <w:rPr>
                <w:rFonts w:ascii="Arial" w:eastAsia="MS Gothic" w:hAnsi="Arial" w:cs="Arial"/>
                <w:i/>
                <w:sz w:val="20"/>
                <w:szCs w:val="20"/>
                <w:highlight w:val="yellow"/>
              </w:rPr>
            </w:pPr>
            <w:r w:rsidRPr="00313001">
              <w:rPr>
                <w:rFonts w:ascii="Arial" w:eastAsia="MS Gothic" w:hAnsi="Arial" w:cs="Arial"/>
                <w:bCs/>
                <w:i/>
                <w:sz w:val="16"/>
                <w:szCs w:val="16"/>
              </w:rPr>
              <w:t xml:space="preserve">(See Sections </w:t>
            </w:r>
            <w:r w:rsidR="00A36D03">
              <w:rPr>
                <w:rFonts w:ascii="Arial" w:eastAsia="MS Gothic" w:hAnsi="Arial" w:cs="Arial"/>
                <w:bCs/>
                <w:i/>
                <w:sz w:val="16"/>
                <w:szCs w:val="16"/>
              </w:rPr>
              <w:t>5.54</w:t>
            </w:r>
            <w:r w:rsidRPr="00313001">
              <w:rPr>
                <w:rFonts w:ascii="Arial" w:eastAsia="MS Gothic" w:hAnsi="Arial" w:cs="Arial"/>
                <w:bCs/>
                <w:i/>
                <w:sz w:val="16"/>
                <w:szCs w:val="16"/>
              </w:rPr>
              <w:t>, 6.07, 6.43 and 7.05)</w:t>
            </w:r>
          </w:p>
        </w:tc>
      </w:tr>
      <w:bookmarkEnd w:id="0"/>
    </w:tbl>
    <w:p w14:paraId="7854AC05" w14:textId="5E0F283D" w:rsidR="00F8515D" w:rsidRDefault="00F8515D" w:rsidP="00F8515D">
      <w:pPr>
        <w:rPr>
          <w:rFonts w:cs="Arial"/>
          <w:b/>
        </w:rPr>
      </w:pPr>
    </w:p>
    <w:p w14:paraId="0687913E" w14:textId="77777777" w:rsidR="00313001" w:rsidRPr="00346FAC" w:rsidRDefault="00313001" w:rsidP="00F8515D">
      <w:pPr>
        <w:rPr>
          <w:rFonts w:cs="Arial"/>
          <w:b/>
        </w:rPr>
      </w:pPr>
    </w:p>
    <w:p w14:paraId="635826F6" w14:textId="1403583D" w:rsidR="00F8515D" w:rsidRPr="00346FAC" w:rsidRDefault="00BD0D59" w:rsidP="00F8515D">
      <w:pPr>
        <w:rPr>
          <w:rFonts w:cs="Arial"/>
        </w:rPr>
      </w:pPr>
      <w:r w:rsidRPr="00346FAC">
        <w:rPr>
          <w:rFonts w:cs="Arial"/>
        </w:rPr>
        <w:t>B</w:t>
      </w:r>
      <w:r w:rsidR="00F8515D" w:rsidRPr="00346FAC">
        <w:rPr>
          <w:rFonts w:cs="Arial"/>
        </w:rPr>
        <w:t>.</w:t>
      </w:r>
      <w:r w:rsidR="00F8515D" w:rsidRPr="00346FAC">
        <w:rPr>
          <w:rFonts w:cs="Arial"/>
        </w:rPr>
        <w:tab/>
        <w:t xml:space="preserve">Section </w:t>
      </w:r>
      <w:r w:rsidR="00A36D03">
        <w:rPr>
          <w:rFonts w:cs="Arial"/>
        </w:rPr>
        <w:t>5.54</w:t>
      </w:r>
      <w:r w:rsidR="00F8515D" w:rsidRPr="00346FAC">
        <w:rPr>
          <w:rFonts w:cs="Arial"/>
        </w:rPr>
        <w:t xml:space="preserve"> is deleted and replaced with the following: </w:t>
      </w:r>
    </w:p>
    <w:p w14:paraId="47DBA1FB" w14:textId="77777777" w:rsidR="00F8515D" w:rsidRPr="00346FAC" w:rsidRDefault="00F8515D" w:rsidP="00F8515D">
      <w:pPr>
        <w:rPr>
          <w:rFonts w:cs="Arial"/>
        </w:rPr>
      </w:pPr>
    </w:p>
    <w:p w14:paraId="4FE1E244" w14:textId="06FB0D5D" w:rsidR="00F8515D" w:rsidRPr="00346FAC" w:rsidRDefault="00A36D03" w:rsidP="00F8515D">
      <w:pPr>
        <w:ind w:left="1440" w:hanging="720"/>
        <w:rPr>
          <w:rFonts w:cs="Arial"/>
        </w:rPr>
      </w:pPr>
      <w:r>
        <w:rPr>
          <w:rFonts w:cs="Arial"/>
          <w:b/>
        </w:rPr>
        <w:t>5.54</w:t>
      </w:r>
      <w:r w:rsidR="00F8515D" w:rsidRPr="00346FAC">
        <w:rPr>
          <w:rFonts w:cs="Arial"/>
        </w:rPr>
        <w:tab/>
      </w:r>
      <w:r w:rsidR="00F8515D" w:rsidRPr="00346FAC">
        <w:rPr>
          <w:rFonts w:cs="Arial"/>
          <w:b/>
        </w:rPr>
        <w:t>Completion of Work</w:t>
      </w:r>
      <w:r w:rsidR="00F8515D" w:rsidRPr="00346FAC">
        <w:rPr>
          <w:rFonts w:cs="Arial"/>
        </w:rPr>
        <w:t xml:space="preserve">. Except for any Repairs </w:t>
      </w:r>
      <w:r w:rsidR="00BF7B1D" w:rsidRPr="00346FAC">
        <w:rPr>
          <w:rFonts w:cs="Arial"/>
        </w:rPr>
        <w:t xml:space="preserve">identified on the Repair Schedule of Work in </w:t>
      </w:r>
      <w:r w:rsidR="00D912D0">
        <w:rPr>
          <w:rFonts w:cs="Arial"/>
        </w:rPr>
        <w:t>Section 1.03</w:t>
      </w:r>
      <w:r w:rsidR="00F8515D" w:rsidRPr="00346FAC">
        <w:rPr>
          <w:rFonts w:cs="Arial"/>
        </w:rPr>
        <w:t>, all work in connection with the construction of the Mortgaged Property (or the most recent renovation or rehabilitation of the Mortgaged Property, if applicable) (“</w:t>
      </w:r>
      <w:r w:rsidR="00F8515D" w:rsidRPr="00346FAC">
        <w:rPr>
          <w:rFonts w:cs="Arial"/>
          <w:b/>
        </w:rPr>
        <w:t>Prior Work</w:t>
      </w:r>
      <w:r w:rsidR="00F8515D" w:rsidRPr="00346FAC">
        <w:rPr>
          <w:rFonts w:cs="Arial"/>
        </w:rPr>
        <w:t>”) is complete.  The Prior Work has been completed in a good and workmanlike manner, free and clear of all Liens, and in accordance with all plans and specifications and all applicable laws, ordinances, rules, regulations, building setback lines and restrictions applicable to the Mortgaged Property.  Borrower has paid in full all costs for labor, materials and other costs related to the Prior Work.</w:t>
      </w:r>
    </w:p>
    <w:p w14:paraId="27B21A81" w14:textId="77777777" w:rsidR="00F8515D" w:rsidRPr="00346FAC" w:rsidRDefault="00F8515D" w:rsidP="00F8515D">
      <w:pPr>
        <w:rPr>
          <w:rFonts w:cs="Arial"/>
        </w:rPr>
      </w:pPr>
    </w:p>
    <w:p w14:paraId="76AF8B7F" w14:textId="11989B92" w:rsidR="00F8515D" w:rsidRPr="00346FAC" w:rsidRDefault="00BD0D59" w:rsidP="00F8515D">
      <w:pPr>
        <w:rPr>
          <w:rFonts w:cs="Arial"/>
        </w:rPr>
      </w:pPr>
      <w:r w:rsidRPr="00346FAC">
        <w:rPr>
          <w:rFonts w:cs="Arial"/>
        </w:rPr>
        <w:t>C</w:t>
      </w:r>
      <w:r w:rsidR="00F8515D" w:rsidRPr="00346FAC">
        <w:rPr>
          <w:rFonts w:cs="Arial"/>
        </w:rPr>
        <w:t>.</w:t>
      </w:r>
      <w:r w:rsidR="00F8515D" w:rsidRPr="00346FAC">
        <w:rPr>
          <w:rFonts w:cs="Arial"/>
        </w:rPr>
        <w:tab/>
        <w:t>Section 6.07(b)(i) is deleted and replaced with the following:</w:t>
      </w:r>
    </w:p>
    <w:p w14:paraId="47876FA9" w14:textId="77777777" w:rsidR="00F8515D" w:rsidRPr="00346FAC" w:rsidRDefault="00F8515D" w:rsidP="00F8515D">
      <w:pPr>
        <w:rPr>
          <w:rFonts w:cs="Arial"/>
        </w:rPr>
      </w:pPr>
    </w:p>
    <w:p w14:paraId="31D38F38" w14:textId="77777777" w:rsidR="00F8515D" w:rsidRPr="00A43747" w:rsidRDefault="00F8515D" w:rsidP="00F8515D">
      <w:pPr>
        <w:ind w:left="1440" w:hanging="720"/>
        <w:rPr>
          <w:rFonts w:cs="Arial"/>
        </w:rPr>
      </w:pPr>
      <w:r w:rsidRPr="00346FAC">
        <w:rPr>
          <w:rFonts w:cs="Arial"/>
        </w:rPr>
        <w:t>(i)</w:t>
      </w:r>
      <w:r w:rsidRPr="00346FAC">
        <w:rPr>
          <w:rFonts w:cs="Arial"/>
        </w:rPr>
        <w:tab/>
        <w:t xml:space="preserve">Within 15 days after the end of each calendar month prior to the satisfaction </w:t>
      </w:r>
      <w:r w:rsidRPr="00A43747">
        <w:rPr>
          <w:rFonts w:cs="Arial"/>
        </w:rPr>
        <w:t>of the Lease-Up Requirements (unless Securitization has occurred), 25 days after the end of each calendar quarter after the satisfaction of the Lease Up Requirements and prior to Securitization, and within 35 days after each calendar quarter after Securitization, each of the following:</w:t>
      </w:r>
    </w:p>
    <w:p w14:paraId="1C2A359B" w14:textId="77777777" w:rsidR="00F8515D" w:rsidRPr="00A43747" w:rsidRDefault="00F8515D" w:rsidP="00F8515D">
      <w:pPr>
        <w:rPr>
          <w:rFonts w:cs="Arial"/>
        </w:rPr>
      </w:pPr>
    </w:p>
    <w:p w14:paraId="1A57421E" w14:textId="77777777" w:rsidR="00F8515D" w:rsidRPr="00A43747" w:rsidRDefault="00F8515D" w:rsidP="00F8515D">
      <w:pPr>
        <w:ind w:left="2188" w:hanging="720"/>
        <w:rPr>
          <w:rFonts w:cs="Arial"/>
          <w:b/>
          <w:bCs/>
          <w:u w:val="double"/>
        </w:rPr>
      </w:pPr>
      <w:r w:rsidRPr="00A43747">
        <w:rPr>
          <w:rFonts w:cs="Arial"/>
          <w:bCs/>
        </w:rPr>
        <w:t>(A)</w:t>
      </w:r>
      <w:r w:rsidRPr="00A43747">
        <w:rPr>
          <w:rFonts w:cs="Arial"/>
          <w:bCs/>
        </w:rPr>
        <w:tab/>
        <w:t>A Rent Schedule dated no earlier than the date that is 5 days prior to the end of such quarter, or month, as applicable.</w:t>
      </w:r>
    </w:p>
    <w:p w14:paraId="20904554" w14:textId="77777777" w:rsidR="00F8515D" w:rsidRPr="00A43747" w:rsidRDefault="00F8515D" w:rsidP="00F8515D">
      <w:pPr>
        <w:ind w:left="2188" w:hanging="720"/>
        <w:rPr>
          <w:rFonts w:cs="Arial"/>
          <w:b/>
          <w:bCs/>
          <w:u w:val="single"/>
        </w:rPr>
      </w:pPr>
    </w:p>
    <w:p w14:paraId="59C0657B" w14:textId="77777777" w:rsidR="00F8515D" w:rsidRPr="00A43747" w:rsidRDefault="00F8515D" w:rsidP="00F8515D">
      <w:pPr>
        <w:ind w:left="2188" w:hanging="720"/>
        <w:rPr>
          <w:rFonts w:cs="Arial"/>
          <w:bCs/>
        </w:rPr>
      </w:pPr>
      <w:r w:rsidRPr="00A43747">
        <w:rPr>
          <w:rFonts w:cs="Arial"/>
          <w:bCs/>
        </w:rPr>
        <w:t>(B)</w:t>
      </w:r>
      <w:r w:rsidRPr="00A43747">
        <w:rPr>
          <w:rFonts w:cs="Arial"/>
          <w:bCs/>
        </w:rPr>
        <w:tab/>
        <w:t>A statement of income and expenses for Borrower that is either of the following:</w:t>
      </w:r>
    </w:p>
    <w:p w14:paraId="450201D7" w14:textId="77777777" w:rsidR="00F8515D" w:rsidRPr="00A43747" w:rsidRDefault="00F8515D" w:rsidP="00F8515D">
      <w:pPr>
        <w:ind w:left="2188" w:hanging="720"/>
        <w:rPr>
          <w:rFonts w:cs="Arial"/>
          <w:bCs/>
        </w:rPr>
      </w:pPr>
    </w:p>
    <w:p w14:paraId="790D6CFE" w14:textId="77777777" w:rsidR="00F8515D" w:rsidRPr="00A43747" w:rsidRDefault="00F8515D" w:rsidP="00F8515D">
      <w:pPr>
        <w:ind w:left="2908" w:hanging="748"/>
        <w:rPr>
          <w:rFonts w:cs="Arial"/>
          <w:bCs/>
        </w:rPr>
      </w:pPr>
      <w:r w:rsidRPr="00A43747">
        <w:rPr>
          <w:rFonts w:cs="Arial"/>
          <w:bCs/>
        </w:rPr>
        <w:t>(1)</w:t>
      </w:r>
      <w:r w:rsidRPr="00A43747">
        <w:rPr>
          <w:rFonts w:cs="Arial"/>
          <w:bCs/>
        </w:rPr>
        <w:tab/>
        <w:t>For the 12-month period ending on the last day of such quarter, or month, as applicable.</w:t>
      </w:r>
    </w:p>
    <w:p w14:paraId="131B4EF4" w14:textId="77777777" w:rsidR="00F8515D" w:rsidRPr="00A43747" w:rsidRDefault="00F8515D" w:rsidP="00F8515D">
      <w:pPr>
        <w:ind w:left="2908" w:hanging="748"/>
        <w:rPr>
          <w:rFonts w:cs="Arial"/>
          <w:bCs/>
        </w:rPr>
      </w:pPr>
    </w:p>
    <w:p w14:paraId="19B091BA" w14:textId="77777777" w:rsidR="00F8515D" w:rsidRPr="00A43747" w:rsidRDefault="00F8515D" w:rsidP="00F8515D">
      <w:pPr>
        <w:ind w:left="2908" w:hanging="748"/>
        <w:rPr>
          <w:rFonts w:cs="Arial"/>
          <w:bCs/>
        </w:rPr>
      </w:pPr>
      <w:r w:rsidRPr="00A43747">
        <w:rPr>
          <w:rFonts w:cs="Arial"/>
          <w:bCs/>
        </w:rPr>
        <w:t xml:space="preserve"> (2)</w:t>
      </w:r>
      <w:r w:rsidRPr="00A43747">
        <w:rPr>
          <w:rFonts w:cs="Arial"/>
          <w:bCs/>
        </w:rPr>
        <w:tab/>
        <w:t>If at the end of such quarter, or month, as applicable,</w:t>
      </w:r>
      <w:r w:rsidRPr="007A323C">
        <w:rPr>
          <w:rFonts w:cs="Arial"/>
          <w:b/>
          <w:bCs/>
        </w:rPr>
        <w:t xml:space="preserve"> </w:t>
      </w:r>
      <w:r w:rsidRPr="00A43747">
        <w:rPr>
          <w:rFonts w:cs="Arial"/>
          <w:bCs/>
        </w:rPr>
        <w:t xml:space="preserve">Borrower or any Affiliate of Borrower has owned the Mortgaged Property for less than 12 months, for the period commencing with the acquisition of the Mortgaged Property by Borrower </w:t>
      </w:r>
      <w:r w:rsidRPr="00A43747">
        <w:rPr>
          <w:rFonts w:cs="Arial"/>
          <w:bCs/>
        </w:rPr>
        <w:lastRenderedPageBreak/>
        <w:t>or its Affiliate, and ending on the last day of such quarter, or month, as applicable.</w:t>
      </w:r>
    </w:p>
    <w:p w14:paraId="25D3510F" w14:textId="77777777" w:rsidR="00F8515D" w:rsidRPr="00A43747" w:rsidRDefault="00F8515D" w:rsidP="00F8515D">
      <w:pPr>
        <w:ind w:left="2908" w:hanging="748"/>
        <w:rPr>
          <w:rFonts w:cs="Arial"/>
          <w:bCs/>
        </w:rPr>
      </w:pPr>
    </w:p>
    <w:p w14:paraId="36D960AD" w14:textId="77777777" w:rsidR="00F8515D" w:rsidRPr="00A43747" w:rsidRDefault="00F8515D" w:rsidP="00F8515D">
      <w:pPr>
        <w:ind w:left="2188" w:hanging="720"/>
        <w:rPr>
          <w:rFonts w:cs="Arial"/>
        </w:rPr>
      </w:pPr>
      <w:r w:rsidRPr="00A43747">
        <w:rPr>
          <w:rFonts w:cs="Arial"/>
        </w:rPr>
        <w:t>(C)</w:t>
      </w:r>
      <w:r w:rsidRPr="00A43747">
        <w:rPr>
          <w:rFonts w:cs="Arial"/>
        </w:rPr>
        <w:tab/>
        <w:t>When requested by Lender, a balance sheet showing all assets and liabilities of Borrower as of the end of that fiscal quarter, or month, as applicable.</w:t>
      </w:r>
    </w:p>
    <w:p w14:paraId="4C5E977A" w14:textId="77777777" w:rsidR="00F8515D" w:rsidRPr="00A43747" w:rsidRDefault="00F8515D" w:rsidP="00F8515D">
      <w:pPr>
        <w:ind w:left="2188" w:hanging="720"/>
        <w:rPr>
          <w:rFonts w:cs="Arial"/>
        </w:rPr>
      </w:pPr>
    </w:p>
    <w:p w14:paraId="63E5F9DC" w14:textId="2694F87F" w:rsidR="00F8515D" w:rsidRPr="00A43747" w:rsidRDefault="00BD0D59" w:rsidP="00F8515D">
      <w:pPr>
        <w:rPr>
          <w:rFonts w:cs="Arial"/>
        </w:rPr>
      </w:pPr>
      <w:r>
        <w:rPr>
          <w:rFonts w:cs="Arial"/>
        </w:rPr>
        <w:t>D</w:t>
      </w:r>
      <w:r w:rsidR="00F8515D" w:rsidRPr="00A43747">
        <w:rPr>
          <w:rFonts w:cs="Arial"/>
        </w:rPr>
        <w:t>.</w:t>
      </w:r>
      <w:r w:rsidR="00F8515D" w:rsidRPr="00A43747">
        <w:rPr>
          <w:rFonts w:cs="Arial"/>
        </w:rPr>
        <w:tab/>
        <w:t>Section 6.43 is deleted and replaced with the following:</w:t>
      </w:r>
    </w:p>
    <w:p w14:paraId="08AF6543" w14:textId="77777777" w:rsidR="00F8515D" w:rsidRPr="00A43747" w:rsidRDefault="00F8515D" w:rsidP="00F8515D">
      <w:pPr>
        <w:rPr>
          <w:rFonts w:cs="Arial"/>
        </w:rPr>
      </w:pPr>
    </w:p>
    <w:p w14:paraId="4BCC63E0" w14:textId="77777777" w:rsidR="00F8515D" w:rsidRPr="00A43747" w:rsidRDefault="00F8515D" w:rsidP="00F8515D">
      <w:pPr>
        <w:ind w:left="1440" w:hanging="720"/>
        <w:rPr>
          <w:rFonts w:cs="Arial"/>
        </w:rPr>
      </w:pPr>
      <w:r w:rsidRPr="00A43747">
        <w:rPr>
          <w:rFonts w:cs="Arial"/>
          <w:b/>
        </w:rPr>
        <w:t>6.43</w:t>
      </w:r>
      <w:r w:rsidRPr="00A43747">
        <w:rPr>
          <w:rFonts w:cs="Arial"/>
          <w:b/>
        </w:rPr>
        <w:tab/>
        <w:t>Lease-Up Requirements</w:t>
      </w:r>
      <w:r w:rsidRPr="00A43747">
        <w:rPr>
          <w:rFonts w:cs="Arial"/>
        </w:rPr>
        <w:t>.</w:t>
      </w:r>
    </w:p>
    <w:p w14:paraId="7B206C7A" w14:textId="77777777" w:rsidR="00F8515D" w:rsidRPr="00A43747" w:rsidRDefault="00F8515D" w:rsidP="00F8515D">
      <w:pPr>
        <w:ind w:left="1440" w:hanging="720"/>
        <w:rPr>
          <w:rFonts w:cs="Arial"/>
        </w:rPr>
      </w:pPr>
    </w:p>
    <w:p w14:paraId="25EE77F0" w14:textId="77777777" w:rsidR="00F8515D" w:rsidRPr="00A43747" w:rsidRDefault="00F8515D" w:rsidP="00F8515D">
      <w:pPr>
        <w:ind w:left="2160" w:hanging="720"/>
        <w:rPr>
          <w:rFonts w:cs="Arial"/>
        </w:rPr>
      </w:pPr>
      <w:r w:rsidRPr="00A43747">
        <w:rPr>
          <w:rFonts w:cs="Arial"/>
        </w:rPr>
        <w:t>(a)</w:t>
      </w:r>
      <w:r w:rsidRPr="00A43747">
        <w:rPr>
          <w:rFonts w:cs="Arial"/>
        </w:rPr>
        <w:tab/>
        <w:t xml:space="preserve">If Borrower desires that Lender determine whether the Lease-Up Requirements have been satisfied in connection </w:t>
      </w:r>
      <w:r w:rsidRPr="00DC76CA">
        <w:rPr>
          <w:rFonts w:cs="Arial"/>
        </w:rPr>
        <w:t>with a proposed Transfer pursuant to Section 7.05(a),</w:t>
      </w:r>
      <w:r w:rsidRPr="00A43747">
        <w:rPr>
          <w:rFonts w:cs="Arial"/>
        </w:rPr>
        <w:t xml:space="preserve"> Borrower must make a written request at least 30 days before the date of such Transfer.  Such request must be in writing and be accompanied by such information as Lender may require </w:t>
      </w:r>
      <w:proofErr w:type="gramStart"/>
      <w:r w:rsidRPr="00A43747">
        <w:rPr>
          <w:rFonts w:cs="Arial"/>
        </w:rPr>
        <w:t>to determine</w:t>
      </w:r>
      <w:proofErr w:type="gramEnd"/>
      <w:r w:rsidRPr="00A43747">
        <w:rPr>
          <w:rFonts w:cs="Arial"/>
        </w:rPr>
        <w:t xml:space="preserve"> whether the Lease-Up Requirements have been satisfied (to the extent not previously provided).</w:t>
      </w:r>
    </w:p>
    <w:p w14:paraId="487BF027" w14:textId="77777777" w:rsidR="00F8515D" w:rsidRPr="00A43747" w:rsidRDefault="00F8515D" w:rsidP="00F8515D">
      <w:pPr>
        <w:rPr>
          <w:rFonts w:cs="Arial"/>
        </w:rPr>
      </w:pPr>
    </w:p>
    <w:p w14:paraId="55B8EA53" w14:textId="77777777" w:rsidR="00F8515D" w:rsidRPr="00A43747" w:rsidRDefault="00F8515D" w:rsidP="00F8515D">
      <w:pPr>
        <w:ind w:left="2160" w:hanging="720"/>
        <w:rPr>
          <w:rFonts w:cs="Arial"/>
        </w:rPr>
      </w:pPr>
      <w:r w:rsidRPr="00A43747">
        <w:rPr>
          <w:rFonts w:cs="Arial"/>
        </w:rPr>
        <w:t>(b)</w:t>
      </w:r>
      <w:r w:rsidRPr="00A43747">
        <w:rPr>
          <w:rFonts w:cs="Arial"/>
        </w:rPr>
        <w:tab/>
        <w:t>For the purposes of this Loan Agreement, the “</w:t>
      </w:r>
      <w:r w:rsidRPr="00A43747">
        <w:rPr>
          <w:rFonts w:cs="Arial"/>
          <w:b/>
        </w:rPr>
        <w:t>Lease-Up Requirements</w:t>
      </w:r>
      <w:r w:rsidRPr="00A43747">
        <w:rPr>
          <w:rFonts w:cs="Arial"/>
        </w:rPr>
        <w:t>”</w:t>
      </w:r>
      <w:r w:rsidRPr="00A43747">
        <w:rPr>
          <w:rFonts w:cs="Arial"/>
          <w:b/>
        </w:rPr>
        <w:t xml:space="preserve"> </w:t>
      </w:r>
      <w:r w:rsidRPr="00A43747">
        <w:rPr>
          <w:rFonts w:cs="Arial"/>
        </w:rPr>
        <w:t>will be deemed satisfied if Lender determines that:</w:t>
      </w:r>
    </w:p>
    <w:p w14:paraId="32024A0B" w14:textId="77777777" w:rsidR="00F8515D" w:rsidRPr="00A43747" w:rsidRDefault="00F8515D" w:rsidP="00F8515D">
      <w:pPr>
        <w:ind w:left="2160" w:hanging="720"/>
        <w:rPr>
          <w:rFonts w:cs="Arial"/>
        </w:rPr>
      </w:pPr>
    </w:p>
    <w:p w14:paraId="0AF06865" w14:textId="77777777" w:rsidR="003530CF" w:rsidRDefault="003530CF" w:rsidP="003530CF">
      <w:pPr>
        <w:ind w:left="2880" w:hanging="720"/>
        <w:rPr>
          <w:rFonts w:cs="Arial"/>
          <w:b/>
        </w:rPr>
      </w:pPr>
      <w:r>
        <w:rPr>
          <w:rFonts w:cs="Arial"/>
        </w:rPr>
        <w:t>(i)</w:t>
      </w:r>
      <w:r>
        <w:rPr>
          <w:rFonts w:cs="Arial"/>
        </w:rPr>
        <w:tab/>
        <w:t>The Minimum DCR Requirement has been satisfied.</w:t>
      </w:r>
    </w:p>
    <w:p w14:paraId="43E194A7" w14:textId="77777777" w:rsidR="003530CF" w:rsidRDefault="003530CF" w:rsidP="003530CF">
      <w:pPr>
        <w:ind w:left="2880" w:hanging="720"/>
        <w:rPr>
          <w:rFonts w:cs="Arial"/>
        </w:rPr>
      </w:pPr>
    </w:p>
    <w:p w14:paraId="401099B8" w14:textId="77777777" w:rsidR="003530CF" w:rsidRDefault="003530CF" w:rsidP="003530CF">
      <w:pPr>
        <w:ind w:left="2880" w:hanging="720"/>
        <w:rPr>
          <w:rFonts w:cs="Arial"/>
        </w:rPr>
      </w:pPr>
      <w:r>
        <w:rPr>
          <w:rFonts w:cs="Arial"/>
        </w:rPr>
        <w:t>(ii)</w:t>
      </w:r>
      <w:r>
        <w:rPr>
          <w:rFonts w:cs="Arial"/>
        </w:rPr>
        <w:tab/>
        <w:t xml:space="preserve">The Minimum NRI Requirement has been satisfied. </w:t>
      </w:r>
    </w:p>
    <w:p w14:paraId="0331AB7A" w14:textId="77777777" w:rsidR="00F8515D" w:rsidRPr="00A43747" w:rsidRDefault="00F8515D" w:rsidP="00F8515D">
      <w:pPr>
        <w:ind w:left="2160" w:hanging="720"/>
        <w:rPr>
          <w:rFonts w:cs="Arial"/>
          <w:b/>
        </w:rPr>
      </w:pPr>
    </w:p>
    <w:p w14:paraId="238C0B96" w14:textId="13F01E3D" w:rsidR="00F8515D" w:rsidRPr="00A43747" w:rsidRDefault="00BD0D59" w:rsidP="00F8515D">
      <w:pPr>
        <w:ind w:left="720" w:hanging="720"/>
        <w:rPr>
          <w:rFonts w:cs="Arial"/>
        </w:rPr>
      </w:pPr>
      <w:r>
        <w:rPr>
          <w:rFonts w:cs="Arial"/>
        </w:rPr>
        <w:t>E</w:t>
      </w:r>
      <w:r w:rsidR="00F8515D" w:rsidRPr="00A43747">
        <w:rPr>
          <w:rFonts w:cs="Arial"/>
        </w:rPr>
        <w:t>.</w:t>
      </w:r>
      <w:r w:rsidR="00F8515D" w:rsidRPr="00A43747">
        <w:rPr>
          <w:rFonts w:cs="Arial"/>
        </w:rPr>
        <w:tab/>
        <w:t>Section 7.05(a)(xix) is deleted and replaced with the following</w:t>
      </w:r>
      <w:r w:rsidR="00F8515D" w:rsidRPr="00A43747">
        <w:rPr>
          <w:rFonts w:cs="Arial"/>
          <w:i/>
        </w:rPr>
        <w:t xml:space="preserve">: </w:t>
      </w:r>
    </w:p>
    <w:p w14:paraId="4EA55009" w14:textId="77777777" w:rsidR="00F8515D" w:rsidRPr="00A43747" w:rsidRDefault="00F8515D" w:rsidP="00F8515D">
      <w:pPr>
        <w:ind w:left="720" w:hanging="720"/>
        <w:rPr>
          <w:rFonts w:cs="Arial"/>
        </w:rPr>
      </w:pPr>
    </w:p>
    <w:p w14:paraId="36FC523F" w14:textId="77777777" w:rsidR="00F8515D" w:rsidRPr="00A43747" w:rsidRDefault="00F8515D" w:rsidP="00F8515D">
      <w:pPr>
        <w:ind w:left="1440" w:hanging="720"/>
        <w:rPr>
          <w:rFonts w:cs="Arial"/>
        </w:rPr>
      </w:pPr>
      <w:r w:rsidRPr="00A43747">
        <w:rPr>
          <w:rFonts w:cs="Arial"/>
        </w:rPr>
        <w:t>(xix)</w:t>
      </w:r>
      <w:r w:rsidRPr="00A43747">
        <w:rPr>
          <w:rFonts w:cs="Arial"/>
        </w:rPr>
        <w:tab/>
        <w:t>Either (i) Securitization has occurred, or (ii) the Lease-Up Requirements have been satisfied.</w:t>
      </w:r>
    </w:p>
    <w:p w14:paraId="08EC00B9" w14:textId="77777777" w:rsidR="00F8515D" w:rsidRPr="00A43747" w:rsidRDefault="00F8515D" w:rsidP="00F8515D">
      <w:pPr>
        <w:ind w:left="1440" w:hanging="1440"/>
        <w:rPr>
          <w:rFonts w:cs="Arial"/>
        </w:rPr>
      </w:pPr>
    </w:p>
    <w:p w14:paraId="60E477C5" w14:textId="7DC4CB32" w:rsidR="00F8515D" w:rsidRPr="00A43747" w:rsidRDefault="00BD0D59" w:rsidP="00F8515D">
      <w:pPr>
        <w:overflowPunct w:val="0"/>
        <w:autoSpaceDE w:val="0"/>
        <w:autoSpaceDN w:val="0"/>
        <w:adjustRightInd w:val="0"/>
        <w:ind w:left="749" w:hanging="749"/>
        <w:rPr>
          <w:rFonts w:cs="Arial"/>
        </w:rPr>
      </w:pPr>
      <w:r>
        <w:rPr>
          <w:rFonts w:cs="Arial"/>
        </w:rPr>
        <w:t>F</w:t>
      </w:r>
      <w:r w:rsidR="00F8515D" w:rsidRPr="00A43747">
        <w:rPr>
          <w:rFonts w:cs="Arial"/>
        </w:rPr>
        <w:t>.</w:t>
      </w:r>
      <w:r w:rsidR="00F8515D" w:rsidRPr="00A43747">
        <w:rPr>
          <w:rFonts w:cs="Arial"/>
        </w:rPr>
        <w:tab/>
        <w:t>The following definitions are added to Article XII:</w:t>
      </w:r>
    </w:p>
    <w:p w14:paraId="37D3B41B" w14:textId="77777777" w:rsidR="00F8515D" w:rsidRPr="00A43747" w:rsidRDefault="00F8515D" w:rsidP="00F8515D">
      <w:pPr>
        <w:overflowPunct w:val="0"/>
        <w:autoSpaceDE w:val="0"/>
        <w:autoSpaceDN w:val="0"/>
        <w:adjustRightInd w:val="0"/>
        <w:ind w:left="749" w:hanging="749"/>
        <w:rPr>
          <w:rFonts w:cs="Arial"/>
        </w:rPr>
      </w:pPr>
    </w:p>
    <w:p w14:paraId="4FB14D18" w14:textId="77777777" w:rsidR="00F8515D" w:rsidRPr="00A43747" w:rsidRDefault="00F8515D" w:rsidP="00F8515D">
      <w:pPr>
        <w:ind w:left="720"/>
        <w:rPr>
          <w:rFonts w:cs="Arial"/>
        </w:rPr>
      </w:pPr>
      <w:r w:rsidRPr="00A43747">
        <w:rPr>
          <w:rFonts w:cs="Arial"/>
        </w:rPr>
        <w:t>“</w:t>
      </w:r>
      <w:r w:rsidRPr="00A43747">
        <w:rPr>
          <w:rFonts w:cs="Arial"/>
          <w:b/>
          <w:bCs/>
        </w:rPr>
        <w:t>Acceptable Other Income</w:t>
      </w:r>
      <w:r w:rsidRPr="00A43747">
        <w:rPr>
          <w:rFonts w:cs="Arial"/>
        </w:rPr>
        <w:t xml:space="preserve">” means the lesser of Actual Acceptable Other Income or the Underwritten Acceptable Other Income. </w:t>
      </w:r>
    </w:p>
    <w:p w14:paraId="5FE77107" w14:textId="77777777" w:rsidR="00F8515D" w:rsidRPr="00A43747" w:rsidRDefault="00F8515D" w:rsidP="00F8515D">
      <w:pPr>
        <w:ind w:left="720"/>
        <w:rPr>
          <w:rFonts w:cs="Arial"/>
        </w:rPr>
      </w:pPr>
    </w:p>
    <w:p w14:paraId="4CE7F52E" w14:textId="01B4307C" w:rsidR="00F8515D" w:rsidRPr="00A43747" w:rsidRDefault="00F8515D" w:rsidP="00F8515D">
      <w:pPr>
        <w:ind w:left="720"/>
        <w:rPr>
          <w:rFonts w:cs="Arial"/>
        </w:rPr>
      </w:pPr>
      <w:r w:rsidRPr="00A43747">
        <w:rPr>
          <w:rFonts w:cs="Arial"/>
        </w:rPr>
        <w:t>“</w:t>
      </w:r>
      <w:r w:rsidRPr="00A43747">
        <w:rPr>
          <w:rFonts w:cs="Arial"/>
          <w:b/>
        </w:rPr>
        <w:t>Actual Acceptable Other Income</w:t>
      </w:r>
      <w:r w:rsidRPr="00A43747">
        <w:rPr>
          <w:rFonts w:cs="Arial"/>
        </w:rPr>
        <w:t>” means the averaged and annualized amount of any other income derived from the Mortgaged Property, other than Gross Potential Rent and any interest income, that has been collected consistently by Borrower during the preceding 3 months and that is acceptable to and approved by Lender in Lender’s sole discretion.</w:t>
      </w:r>
    </w:p>
    <w:p w14:paraId="79B5C52B" w14:textId="77777777" w:rsidR="00F8515D" w:rsidRPr="00A43747" w:rsidRDefault="00F8515D" w:rsidP="00F8515D">
      <w:pPr>
        <w:ind w:left="720"/>
        <w:rPr>
          <w:rFonts w:cs="Arial"/>
          <w:color w:val="0D0D0D"/>
        </w:rPr>
      </w:pPr>
    </w:p>
    <w:p w14:paraId="4D59EC32" w14:textId="78B4A723" w:rsidR="00F8515D" w:rsidRPr="00A43747" w:rsidRDefault="00F8515D" w:rsidP="00F8515D">
      <w:pPr>
        <w:ind w:left="720"/>
        <w:rPr>
          <w:rFonts w:cs="Arial"/>
          <w:color w:val="0D0D0D"/>
        </w:rPr>
      </w:pPr>
      <w:r w:rsidRPr="00A43747">
        <w:rPr>
          <w:rFonts w:cs="Arial"/>
          <w:color w:val="0D0D0D"/>
        </w:rPr>
        <w:t>“</w:t>
      </w:r>
      <w:r w:rsidRPr="00A43747">
        <w:rPr>
          <w:rFonts w:cs="Arial"/>
          <w:b/>
          <w:color w:val="0D0D0D"/>
        </w:rPr>
        <w:t>Actual Fixed Expenses</w:t>
      </w:r>
      <w:r w:rsidRPr="00A43747">
        <w:rPr>
          <w:rFonts w:cs="Arial"/>
          <w:color w:val="0D0D0D"/>
        </w:rPr>
        <w:t xml:space="preserve">” means: (i) Taxes for the Mortgaged Property, (ii) Insurance premiums, and (iii) expenses for utilities, </w:t>
      </w:r>
      <w:proofErr w:type="gramStart"/>
      <w:r w:rsidRPr="00A43747">
        <w:rPr>
          <w:rFonts w:cs="Arial"/>
          <w:color w:val="0D0D0D"/>
        </w:rPr>
        <w:t>water</w:t>
      </w:r>
      <w:proofErr w:type="gramEnd"/>
      <w:r w:rsidRPr="00A43747">
        <w:rPr>
          <w:rFonts w:cs="Arial"/>
          <w:color w:val="0D0D0D"/>
        </w:rPr>
        <w:t xml:space="preserve"> and sewer for the preceding 3 months. Capital expenditures are specifically excluded from this definition.  For the purposes of determining the amount of Taxes for the Mortgaged Property, Lender will have the right in its discretion to base its determination on the actual taxes in place, the next year’s bill, or any assessed value published by the applicable Governmental Authority on its website that will take effect within the 12 months following the date of determination. For the purposes of determining the amount of Insurance premiums, Lender may base its determination on the actual premiums in place or the premiums to be in effect within the next 12 months, if known. </w:t>
      </w:r>
    </w:p>
    <w:p w14:paraId="0DC71175" w14:textId="77777777" w:rsidR="00F8515D" w:rsidRPr="00A43747" w:rsidRDefault="00F8515D" w:rsidP="00F8515D">
      <w:pPr>
        <w:ind w:left="720"/>
        <w:rPr>
          <w:rFonts w:cs="Arial"/>
          <w:color w:val="0D0D0D"/>
        </w:rPr>
      </w:pPr>
    </w:p>
    <w:p w14:paraId="28F5806F" w14:textId="457CDC5C" w:rsidR="00F8515D" w:rsidRPr="00A43747" w:rsidRDefault="00F8515D" w:rsidP="00F8515D">
      <w:pPr>
        <w:ind w:left="720"/>
        <w:rPr>
          <w:rFonts w:cs="Arial"/>
          <w:color w:val="0D0D0D"/>
        </w:rPr>
      </w:pPr>
      <w:r w:rsidRPr="00A43747">
        <w:rPr>
          <w:rFonts w:cs="Arial"/>
          <w:color w:val="0D0D0D"/>
        </w:rPr>
        <w:t>“</w:t>
      </w:r>
      <w:r w:rsidRPr="00A43747">
        <w:rPr>
          <w:rFonts w:cs="Arial"/>
          <w:b/>
          <w:color w:val="0D0D0D"/>
        </w:rPr>
        <w:t>Actual Operating Expenses</w:t>
      </w:r>
      <w:r w:rsidRPr="00A43747">
        <w:rPr>
          <w:rFonts w:cs="Arial"/>
          <w:color w:val="0D0D0D"/>
        </w:rPr>
        <w:t>” means operating expenses for the Mortgaged Property for the preceding 3 months, including the expenses for repair and maintenance of the Mortgaged Property, the Management Fee, payroll expenses, general and administrative expenses, and other miscellaneous operating expenses. Capital expenditures are specifically excluded from this definition.</w:t>
      </w:r>
      <w:r w:rsidRPr="00A43747" w:rsidDel="003D6CF1">
        <w:rPr>
          <w:rFonts w:cs="Arial"/>
          <w:color w:val="0D0D0D"/>
        </w:rPr>
        <w:t xml:space="preserve"> </w:t>
      </w:r>
    </w:p>
    <w:p w14:paraId="6D4CEE60" w14:textId="77777777" w:rsidR="00F8515D" w:rsidRPr="00A43747" w:rsidRDefault="00F8515D" w:rsidP="00F8515D">
      <w:pPr>
        <w:ind w:left="720"/>
        <w:rPr>
          <w:rFonts w:cs="Arial"/>
          <w:i/>
          <w:color w:val="0D0D0D"/>
        </w:rPr>
      </w:pPr>
    </w:p>
    <w:p w14:paraId="3B61C0BA" w14:textId="77777777" w:rsidR="00F8515D" w:rsidRPr="00A43747" w:rsidRDefault="00F8515D" w:rsidP="00F8515D">
      <w:pPr>
        <w:ind w:left="720"/>
        <w:rPr>
          <w:rFonts w:cs="Arial"/>
          <w:color w:val="000000"/>
        </w:rPr>
      </w:pPr>
      <w:r w:rsidRPr="00A43747">
        <w:rPr>
          <w:rFonts w:cs="Arial"/>
        </w:rPr>
        <w:t>“</w:t>
      </w:r>
      <w:r w:rsidRPr="00A43747">
        <w:rPr>
          <w:rFonts w:cs="Arial"/>
          <w:b/>
        </w:rPr>
        <w:t>Bad Debt</w:t>
      </w:r>
      <w:r w:rsidRPr="00A43747">
        <w:rPr>
          <w:rFonts w:cs="Arial"/>
        </w:rPr>
        <w:t xml:space="preserve">” means </w:t>
      </w:r>
      <w:r w:rsidRPr="00A43747">
        <w:rPr>
          <w:rFonts w:eastAsia="Arial Unicode MS" w:cs="Arial"/>
        </w:rPr>
        <w:t>that portion of Gross Potential Rent which is assumed not to be collected by Borrower due to tenant non-payment</w:t>
      </w:r>
      <w:r w:rsidRPr="00A43747">
        <w:rPr>
          <w:rFonts w:cs="Arial"/>
        </w:rPr>
        <w:t>.</w:t>
      </w:r>
    </w:p>
    <w:p w14:paraId="302B701F" w14:textId="77777777" w:rsidR="00F8515D" w:rsidRPr="00A43747" w:rsidRDefault="00F8515D" w:rsidP="00F8515D">
      <w:pPr>
        <w:ind w:left="720"/>
        <w:rPr>
          <w:rFonts w:cs="Arial"/>
        </w:rPr>
      </w:pPr>
    </w:p>
    <w:p w14:paraId="0D7912DB" w14:textId="77777777" w:rsidR="00F8515D" w:rsidRPr="00A43747" w:rsidRDefault="00F8515D" w:rsidP="00F8515D">
      <w:pPr>
        <w:ind w:left="720"/>
        <w:rPr>
          <w:rFonts w:cs="Arial"/>
        </w:rPr>
      </w:pPr>
      <w:r w:rsidRPr="00A43747">
        <w:rPr>
          <w:rFonts w:cs="Arial"/>
        </w:rPr>
        <w:t>“</w:t>
      </w:r>
      <w:r w:rsidRPr="00A43747">
        <w:rPr>
          <w:rFonts w:cs="Arial"/>
          <w:b/>
          <w:bCs/>
        </w:rPr>
        <w:t>Concessions</w:t>
      </w:r>
      <w:r w:rsidRPr="00A43747">
        <w:rPr>
          <w:rFonts w:cs="Arial"/>
        </w:rPr>
        <w:t>” means: (i) rental abatements, (ii) “free” rent, (iii) inducements, and (iv) other incentives.</w:t>
      </w:r>
    </w:p>
    <w:p w14:paraId="78D51ADF" w14:textId="77777777" w:rsidR="00F8515D" w:rsidRPr="00A43747" w:rsidRDefault="00F8515D" w:rsidP="00F8515D">
      <w:pPr>
        <w:ind w:left="720"/>
        <w:rPr>
          <w:rFonts w:cs="Arial"/>
        </w:rPr>
      </w:pPr>
    </w:p>
    <w:p w14:paraId="2274C983" w14:textId="77777777" w:rsidR="00F8515D" w:rsidRPr="00A43747" w:rsidRDefault="00F8515D" w:rsidP="00F8515D">
      <w:pPr>
        <w:ind w:left="720"/>
        <w:rPr>
          <w:rFonts w:cs="Arial"/>
        </w:rPr>
      </w:pPr>
      <w:r w:rsidRPr="00A43747">
        <w:rPr>
          <w:rFonts w:cs="Arial"/>
        </w:rPr>
        <w:t>“</w:t>
      </w:r>
      <w:r w:rsidRPr="00A43747">
        <w:rPr>
          <w:rFonts w:cs="Arial"/>
          <w:b/>
          <w:bCs/>
        </w:rPr>
        <w:t>Effective Gross Income</w:t>
      </w:r>
      <w:r w:rsidRPr="00A43747">
        <w:rPr>
          <w:rFonts w:cs="Arial"/>
        </w:rPr>
        <w:t xml:space="preserve">” means the positive annualized amount of the </w:t>
      </w:r>
      <w:r w:rsidRPr="00A43747">
        <w:rPr>
          <w:rFonts w:cs="Arial"/>
          <w:bCs/>
        </w:rPr>
        <w:t>Gross Potential Rent,</w:t>
      </w:r>
      <w:r w:rsidRPr="00A43747">
        <w:rPr>
          <w:rFonts w:cs="Arial"/>
        </w:rPr>
        <w:t xml:space="preserve"> net of the </w:t>
      </w:r>
      <w:r w:rsidRPr="00A43747">
        <w:rPr>
          <w:rFonts w:cs="Arial"/>
          <w:bCs/>
        </w:rPr>
        <w:t xml:space="preserve">Concessions, </w:t>
      </w:r>
      <w:r w:rsidRPr="00A43747">
        <w:rPr>
          <w:rFonts w:cs="Arial"/>
        </w:rPr>
        <w:t xml:space="preserve">subject to the Vacancy Rate, minus Bad Debt, plus the </w:t>
      </w:r>
      <w:r w:rsidRPr="00A43747">
        <w:rPr>
          <w:rFonts w:cs="Arial"/>
          <w:bCs/>
        </w:rPr>
        <w:t>Acceptable Other Income.</w:t>
      </w:r>
    </w:p>
    <w:p w14:paraId="75635AA9" w14:textId="77777777" w:rsidR="00F8515D" w:rsidRPr="00A43747" w:rsidRDefault="00F8515D" w:rsidP="00F8515D">
      <w:pPr>
        <w:ind w:left="720"/>
        <w:rPr>
          <w:rFonts w:cs="Arial"/>
        </w:rPr>
      </w:pPr>
    </w:p>
    <w:p w14:paraId="7F9A0ECF" w14:textId="67DD1AB5" w:rsidR="00F8515D" w:rsidRPr="00A43747" w:rsidRDefault="00F8515D" w:rsidP="00F8515D">
      <w:pPr>
        <w:ind w:left="720"/>
        <w:rPr>
          <w:rFonts w:cs="Arial"/>
        </w:rPr>
      </w:pPr>
      <w:r w:rsidRPr="00A43747">
        <w:rPr>
          <w:rFonts w:cs="Arial"/>
        </w:rPr>
        <w:t>“</w:t>
      </w:r>
      <w:r w:rsidRPr="00A43747">
        <w:rPr>
          <w:rFonts w:cs="Arial"/>
          <w:b/>
        </w:rPr>
        <w:t>Expenses</w:t>
      </w:r>
      <w:r w:rsidRPr="00A43747">
        <w:rPr>
          <w:rFonts w:cs="Arial"/>
        </w:rPr>
        <w:t xml:space="preserve">” means the Fixed Expenses plus Operating Expenses plus the annualized amount of the </w:t>
      </w:r>
      <w:r w:rsidR="007E48AB">
        <w:rPr>
          <w:rFonts w:cs="Arial"/>
        </w:rPr>
        <w:t>Monthly</w:t>
      </w:r>
      <w:r w:rsidRPr="00A43747">
        <w:rPr>
          <w:rFonts w:cs="Arial"/>
        </w:rPr>
        <w:t xml:space="preserve"> </w:t>
      </w:r>
      <w:r w:rsidR="00CE2FE6">
        <w:rPr>
          <w:rFonts w:cs="Arial"/>
        </w:rPr>
        <w:t xml:space="preserve">Replacement Reserve </w:t>
      </w:r>
      <w:r w:rsidRPr="00A43747">
        <w:rPr>
          <w:rFonts w:cs="Arial"/>
        </w:rPr>
        <w:t>Deposit (even if such deposit is deferred).</w:t>
      </w:r>
    </w:p>
    <w:p w14:paraId="5437207F" w14:textId="77777777" w:rsidR="00F8515D" w:rsidRPr="00A43747" w:rsidRDefault="00F8515D" w:rsidP="00F8515D">
      <w:pPr>
        <w:ind w:left="720"/>
        <w:rPr>
          <w:rFonts w:cs="Arial"/>
        </w:rPr>
      </w:pPr>
    </w:p>
    <w:p w14:paraId="61E6875E" w14:textId="77777777" w:rsidR="00F8515D" w:rsidRPr="00A43747" w:rsidRDefault="00F8515D" w:rsidP="00F8515D">
      <w:pPr>
        <w:ind w:left="720"/>
        <w:rPr>
          <w:rFonts w:cs="Arial"/>
        </w:rPr>
      </w:pPr>
      <w:r w:rsidRPr="00A43747">
        <w:rPr>
          <w:rFonts w:cs="Arial"/>
        </w:rPr>
        <w:t>“</w:t>
      </w:r>
      <w:r w:rsidRPr="00A43747">
        <w:rPr>
          <w:rFonts w:cs="Arial"/>
          <w:b/>
        </w:rPr>
        <w:t>Fixed Expenses</w:t>
      </w:r>
      <w:r w:rsidRPr="00A43747">
        <w:rPr>
          <w:rFonts w:cs="Arial"/>
        </w:rPr>
        <w:t>” means the greater of: (i) the annualized Actual Fixed Expenses for the Mortgaged Property, or (ii) the Underwritten Fixed Expenses.</w:t>
      </w:r>
      <w:r w:rsidRPr="00A43747" w:rsidDel="00294123">
        <w:rPr>
          <w:rFonts w:cs="Arial"/>
        </w:rPr>
        <w:t xml:space="preserve"> </w:t>
      </w:r>
    </w:p>
    <w:p w14:paraId="63E41C2E" w14:textId="77777777" w:rsidR="00F8515D" w:rsidRPr="00A43747" w:rsidRDefault="00F8515D" w:rsidP="00F8515D">
      <w:pPr>
        <w:ind w:left="720"/>
        <w:rPr>
          <w:rFonts w:cs="Arial"/>
        </w:rPr>
      </w:pPr>
    </w:p>
    <w:p w14:paraId="4119F44A" w14:textId="77777777" w:rsidR="00F8515D" w:rsidRPr="00A43747" w:rsidRDefault="00F8515D" w:rsidP="00F8515D">
      <w:pPr>
        <w:ind w:left="720"/>
        <w:rPr>
          <w:rFonts w:cs="Arial"/>
        </w:rPr>
      </w:pPr>
      <w:r w:rsidRPr="00A43747">
        <w:rPr>
          <w:rFonts w:cs="Arial"/>
          <w:bCs/>
        </w:rPr>
        <w:t>“</w:t>
      </w:r>
      <w:r w:rsidRPr="00A43747">
        <w:rPr>
          <w:rFonts w:cs="Arial"/>
          <w:b/>
          <w:bCs/>
        </w:rPr>
        <w:t>Gross Potential Rent</w:t>
      </w:r>
      <w:r w:rsidRPr="00A43747">
        <w:rPr>
          <w:rFonts w:cs="Arial"/>
          <w:bCs/>
        </w:rPr>
        <w:t>”</w:t>
      </w:r>
      <w:r w:rsidRPr="00A43747">
        <w:rPr>
          <w:rFonts w:cs="Arial"/>
        </w:rPr>
        <w:t xml:space="preserve"> means the sum of: (i) monthly rents </w:t>
      </w:r>
      <w:proofErr w:type="gramStart"/>
      <w:r w:rsidRPr="00A43747">
        <w:rPr>
          <w:rFonts w:cs="Arial"/>
        </w:rPr>
        <w:t>actually collected</w:t>
      </w:r>
      <w:proofErr w:type="gramEnd"/>
      <w:r w:rsidRPr="00A43747">
        <w:rPr>
          <w:rFonts w:cs="Arial"/>
        </w:rPr>
        <w:t xml:space="preserve"> from tenants under residential Leases identified in each of the most current rent rolls, and (ii) achievable monthly rents attributable to residential vacant units, calculated at market rents, as determined by Lender in Lender's Discretion. (Market rents attributable to employee and model units may be included in the calculation of Gross Potential Rent if they are also included in operating expenses.) </w:t>
      </w:r>
    </w:p>
    <w:p w14:paraId="1BBDA416" w14:textId="77777777" w:rsidR="00F8515D" w:rsidRPr="00A43747" w:rsidRDefault="00F8515D" w:rsidP="00F8515D">
      <w:pPr>
        <w:overflowPunct w:val="0"/>
        <w:autoSpaceDE w:val="0"/>
        <w:autoSpaceDN w:val="0"/>
        <w:adjustRightInd w:val="0"/>
        <w:ind w:left="749" w:hanging="749"/>
        <w:rPr>
          <w:rFonts w:cs="Arial"/>
        </w:rPr>
      </w:pPr>
    </w:p>
    <w:p w14:paraId="554C945E" w14:textId="77777777" w:rsidR="00F8515D" w:rsidRPr="00A43747" w:rsidRDefault="00F8515D" w:rsidP="00F8515D">
      <w:pPr>
        <w:ind w:left="720"/>
        <w:rPr>
          <w:rFonts w:cs="Arial"/>
        </w:rPr>
      </w:pPr>
      <w:r w:rsidRPr="00A43747">
        <w:rPr>
          <w:rFonts w:cs="Arial"/>
        </w:rPr>
        <w:t>“</w:t>
      </w:r>
      <w:r w:rsidRPr="00A43747">
        <w:rPr>
          <w:rFonts w:cs="Arial"/>
          <w:b/>
        </w:rPr>
        <w:t>Lease-Up Requirements</w:t>
      </w:r>
      <w:r w:rsidRPr="00A43747">
        <w:rPr>
          <w:rFonts w:cs="Arial"/>
        </w:rPr>
        <w:t xml:space="preserve">” is defined in Section 6.43. </w:t>
      </w:r>
    </w:p>
    <w:p w14:paraId="75E4B2B6" w14:textId="77777777" w:rsidR="00F8515D" w:rsidRPr="00A43747" w:rsidRDefault="00F8515D" w:rsidP="00F8515D">
      <w:pPr>
        <w:ind w:left="720"/>
        <w:rPr>
          <w:rFonts w:cs="Arial"/>
        </w:rPr>
      </w:pPr>
    </w:p>
    <w:p w14:paraId="61A8E4C7" w14:textId="77777777" w:rsidR="00F8515D" w:rsidRPr="00A43747" w:rsidRDefault="00F8515D" w:rsidP="00F8515D">
      <w:pPr>
        <w:ind w:left="720"/>
        <w:rPr>
          <w:rFonts w:cs="Arial"/>
        </w:rPr>
      </w:pPr>
      <w:r w:rsidRPr="00A43747">
        <w:rPr>
          <w:rFonts w:cs="Arial"/>
          <w:bCs/>
        </w:rPr>
        <w:t>“</w:t>
      </w:r>
      <w:r w:rsidRPr="00A43747">
        <w:rPr>
          <w:rFonts w:cs="Arial"/>
          <w:b/>
          <w:bCs/>
        </w:rPr>
        <w:t>Management Fee</w:t>
      </w:r>
      <w:r w:rsidRPr="00A43747">
        <w:rPr>
          <w:rFonts w:cs="Arial"/>
          <w:bCs/>
        </w:rPr>
        <w:t>”</w:t>
      </w:r>
      <w:r w:rsidRPr="00A43747">
        <w:rPr>
          <w:rFonts w:cs="Arial"/>
        </w:rPr>
        <w:t xml:space="preserve"> means the Property Manager’s contractual management fee at the time of the applicable calculation.</w:t>
      </w:r>
    </w:p>
    <w:p w14:paraId="275D9F74" w14:textId="77777777" w:rsidR="00F8515D" w:rsidRPr="00A43747" w:rsidRDefault="00F8515D" w:rsidP="00F8515D">
      <w:pPr>
        <w:ind w:left="720"/>
        <w:rPr>
          <w:rFonts w:cs="Arial"/>
        </w:rPr>
      </w:pPr>
    </w:p>
    <w:p w14:paraId="3B15EE16" w14:textId="79B89CB9" w:rsidR="00090AF3" w:rsidRDefault="00090AF3" w:rsidP="00F8515D">
      <w:pPr>
        <w:ind w:left="720"/>
        <w:rPr>
          <w:rFonts w:cs="Arial"/>
        </w:rPr>
      </w:pPr>
      <w:r>
        <w:rPr>
          <w:rFonts w:cs="Arial"/>
        </w:rPr>
        <w:t>“</w:t>
      </w:r>
      <w:r w:rsidRPr="007A323C">
        <w:rPr>
          <w:rFonts w:cs="Arial"/>
          <w:b/>
          <w:bCs/>
        </w:rPr>
        <w:t>Minimum DCR</w:t>
      </w:r>
      <w:r>
        <w:rPr>
          <w:rFonts w:cs="Arial"/>
        </w:rPr>
        <w:t xml:space="preserve">” is defined in </w:t>
      </w:r>
      <w:r w:rsidR="00D912D0">
        <w:rPr>
          <w:rFonts w:cs="Arial"/>
        </w:rPr>
        <w:t>Section 1.05</w:t>
      </w:r>
      <w:r>
        <w:rPr>
          <w:rFonts w:cs="Arial"/>
        </w:rPr>
        <w:t xml:space="preserve">. </w:t>
      </w:r>
    </w:p>
    <w:p w14:paraId="78B03780" w14:textId="77777777" w:rsidR="00090AF3" w:rsidRDefault="00090AF3" w:rsidP="00F8515D">
      <w:pPr>
        <w:ind w:left="720"/>
        <w:rPr>
          <w:rFonts w:cs="Arial"/>
        </w:rPr>
      </w:pPr>
    </w:p>
    <w:p w14:paraId="4DBAF3F7" w14:textId="3A61627D" w:rsidR="00F8515D" w:rsidRPr="00A43747" w:rsidRDefault="00F8515D" w:rsidP="00F8515D">
      <w:pPr>
        <w:ind w:left="720"/>
        <w:rPr>
          <w:rFonts w:cs="Arial"/>
        </w:rPr>
      </w:pPr>
      <w:r w:rsidRPr="00A43747">
        <w:rPr>
          <w:rFonts w:cs="Arial"/>
        </w:rPr>
        <w:t>“</w:t>
      </w:r>
      <w:r w:rsidRPr="00A43747">
        <w:rPr>
          <w:rFonts w:cs="Arial"/>
          <w:b/>
        </w:rPr>
        <w:t>Minimum DCR Requirement</w:t>
      </w:r>
      <w:r w:rsidRPr="00A43747">
        <w:rPr>
          <w:rFonts w:cs="Arial"/>
        </w:rPr>
        <w:t xml:space="preserve">” </w:t>
      </w:r>
      <w:r w:rsidR="00090AF3">
        <w:rPr>
          <w:rFonts w:cs="Arial"/>
        </w:rPr>
        <w:t>means d</w:t>
      </w:r>
      <w:r w:rsidR="00090AF3">
        <w:rPr>
          <w:rFonts w:eastAsia="MS Gothic" w:cs="Arial"/>
        </w:rPr>
        <w:t xml:space="preserve">uring the immediately preceding 3 consecutive months, the NOI of the Mortgaged Property supports an average debt coverage ratio of at least the Minimum DCR specified in </w:t>
      </w:r>
      <w:r w:rsidR="00D912D0">
        <w:rPr>
          <w:rFonts w:eastAsia="MS Gothic" w:cs="Arial"/>
        </w:rPr>
        <w:t>Section 1.05</w:t>
      </w:r>
      <w:r w:rsidR="00090AF3">
        <w:rPr>
          <w:rFonts w:eastAsia="MS Gothic" w:cs="Arial"/>
        </w:rPr>
        <w:t xml:space="preserve">.  </w:t>
      </w:r>
    </w:p>
    <w:p w14:paraId="182E27DE" w14:textId="77777777" w:rsidR="00F8515D" w:rsidRPr="00A43747" w:rsidRDefault="00F8515D" w:rsidP="00F8515D">
      <w:pPr>
        <w:ind w:left="720"/>
        <w:rPr>
          <w:rFonts w:cs="Arial"/>
        </w:rPr>
      </w:pPr>
    </w:p>
    <w:p w14:paraId="13317603" w14:textId="450C23DC" w:rsidR="00BC5C2C" w:rsidRDefault="00BC5C2C" w:rsidP="00F8515D">
      <w:pPr>
        <w:ind w:left="720"/>
        <w:rPr>
          <w:rFonts w:cs="Arial"/>
        </w:rPr>
      </w:pPr>
      <w:r>
        <w:rPr>
          <w:rFonts w:cs="Arial"/>
        </w:rPr>
        <w:t>“</w:t>
      </w:r>
      <w:r w:rsidRPr="007A323C">
        <w:rPr>
          <w:rFonts w:cs="Arial"/>
          <w:b/>
          <w:bCs/>
        </w:rPr>
        <w:t>Minimum NRI</w:t>
      </w:r>
      <w:r>
        <w:rPr>
          <w:rFonts w:cs="Arial"/>
        </w:rPr>
        <w:t xml:space="preserve">” is defined in </w:t>
      </w:r>
      <w:r w:rsidR="00D912D0">
        <w:rPr>
          <w:rFonts w:cs="Arial"/>
        </w:rPr>
        <w:t>Section 1.05</w:t>
      </w:r>
      <w:r>
        <w:rPr>
          <w:rFonts w:cs="Arial"/>
        </w:rPr>
        <w:t xml:space="preserve">. </w:t>
      </w:r>
    </w:p>
    <w:p w14:paraId="017B6C1F" w14:textId="77777777" w:rsidR="00BC5C2C" w:rsidRDefault="00BC5C2C" w:rsidP="00F8515D">
      <w:pPr>
        <w:ind w:left="720"/>
        <w:rPr>
          <w:rFonts w:cs="Arial"/>
        </w:rPr>
      </w:pPr>
    </w:p>
    <w:p w14:paraId="3DBC4105" w14:textId="70D116D0" w:rsidR="00F8515D" w:rsidRPr="00A43747" w:rsidRDefault="00F8515D">
      <w:pPr>
        <w:ind w:left="720"/>
        <w:rPr>
          <w:rFonts w:cs="Arial"/>
        </w:rPr>
      </w:pPr>
      <w:r w:rsidRPr="00A43747">
        <w:rPr>
          <w:rFonts w:cs="Arial"/>
        </w:rPr>
        <w:t>“</w:t>
      </w:r>
      <w:r w:rsidRPr="00A43747">
        <w:rPr>
          <w:rFonts w:cs="Arial"/>
          <w:b/>
        </w:rPr>
        <w:t>Minimum NRI Requirement</w:t>
      </w:r>
      <w:r w:rsidRPr="00A43747">
        <w:rPr>
          <w:rFonts w:cs="Arial"/>
        </w:rPr>
        <w:t xml:space="preserve">” </w:t>
      </w:r>
      <w:r w:rsidR="00BC5C2C">
        <w:rPr>
          <w:rFonts w:cs="Arial"/>
        </w:rPr>
        <w:t>means during the immediately preceding month, the NRI equals at least the Minimum NRI.</w:t>
      </w:r>
    </w:p>
    <w:p w14:paraId="7A1740B1" w14:textId="77777777" w:rsidR="00F8515D" w:rsidRPr="00A43747" w:rsidRDefault="00F8515D" w:rsidP="00F8515D">
      <w:pPr>
        <w:ind w:left="720"/>
        <w:rPr>
          <w:rFonts w:cs="Arial"/>
          <w:b/>
        </w:rPr>
      </w:pPr>
    </w:p>
    <w:p w14:paraId="6919CB5F" w14:textId="77777777" w:rsidR="00F8515D" w:rsidRPr="00A43747" w:rsidRDefault="00F8515D" w:rsidP="00F8515D">
      <w:pPr>
        <w:tabs>
          <w:tab w:val="left" w:pos="-720"/>
          <w:tab w:val="left" w:pos="2880"/>
          <w:tab w:val="left" w:pos="3600"/>
          <w:tab w:val="left" w:pos="4320"/>
          <w:tab w:val="left" w:pos="5040"/>
          <w:tab w:val="left" w:pos="5760"/>
          <w:tab w:val="left" w:pos="6480"/>
          <w:tab w:val="left" w:pos="7200"/>
        </w:tabs>
        <w:suppressAutoHyphens/>
        <w:overflowPunct w:val="0"/>
        <w:autoSpaceDE w:val="0"/>
        <w:autoSpaceDN w:val="0"/>
        <w:adjustRightInd w:val="0"/>
        <w:ind w:left="720"/>
        <w:rPr>
          <w:rFonts w:cs="Arial"/>
          <w:b/>
          <w:bCs/>
        </w:rPr>
      </w:pPr>
      <w:r w:rsidRPr="00A43747">
        <w:rPr>
          <w:rFonts w:cs="Arial"/>
          <w:bCs/>
        </w:rPr>
        <w:t>“</w:t>
      </w:r>
      <w:r w:rsidRPr="00A43747">
        <w:rPr>
          <w:rFonts w:cs="Arial"/>
          <w:b/>
          <w:bCs/>
        </w:rPr>
        <w:t>NOI”</w:t>
      </w:r>
      <w:r w:rsidRPr="00A43747">
        <w:rPr>
          <w:rFonts w:cs="Arial"/>
        </w:rPr>
        <w:t xml:space="preserve"> means the positive, annualized amount by which </w:t>
      </w:r>
      <w:r w:rsidRPr="00A43747">
        <w:rPr>
          <w:rFonts w:cs="Arial"/>
          <w:bCs/>
        </w:rPr>
        <w:t>Effective Gross Income</w:t>
      </w:r>
      <w:r w:rsidRPr="00A43747">
        <w:rPr>
          <w:rFonts w:cs="Arial"/>
        </w:rPr>
        <w:t xml:space="preserve"> exceeds </w:t>
      </w:r>
      <w:r w:rsidRPr="00A43747">
        <w:rPr>
          <w:rFonts w:cs="Arial"/>
          <w:bCs/>
        </w:rPr>
        <w:t>Expenses</w:t>
      </w:r>
      <w:r w:rsidRPr="00A43747">
        <w:rPr>
          <w:rFonts w:cs="Arial"/>
          <w:b/>
          <w:bCs/>
        </w:rPr>
        <w:t>.</w:t>
      </w:r>
    </w:p>
    <w:p w14:paraId="1D9BEC22" w14:textId="77777777" w:rsidR="00F8515D" w:rsidRPr="00A43747" w:rsidRDefault="00F8515D" w:rsidP="00F8515D">
      <w:pPr>
        <w:tabs>
          <w:tab w:val="left" w:pos="-720"/>
          <w:tab w:val="left" w:pos="2880"/>
          <w:tab w:val="left" w:pos="3600"/>
          <w:tab w:val="left" w:pos="4320"/>
          <w:tab w:val="left" w:pos="5040"/>
          <w:tab w:val="left" w:pos="5760"/>
          <w:tab w:val="left" w:pos="6480"/>
          <w:tab w:val="left" w:pos="7200"/>
        </w:tabs>
        <w:suppressAutoHyphens/>
        <w:overflowPunct w:val="0"/>
        <w:autoSpaceDE w:val="0"/>
        <w:autoSpaceDN w:val="0"/>
        <w:adjustRightInd w:val="0"/>
        <w:ind w:left="720"/>
        <w:rPr>
          <w:rFonts w:cs="Arial"/>
          <w:b/>
          <w:bCs/>
        </w:rPr>
      </w:pPr>
    </w:p>
    <w:p w14:paraId="01BE880E" w14:textId="19F7AAD8" w:rsidR="00F8515D" w:rsidRPr="00A43747" w:rsidRDefault="00F8515D" w:rsidP="00F8515D">
      <w:pPr>
        <w:ind w:left="720"/>
        <w:rPr>
          <w:rFonts w:cs="Arial"/>
        </w:rPr>
      </w:pPr>
      <w:r w:rsidRPr="00A43747">
        <w:rPr>
          <w:rFonts w:cs="Arial"/>
          <w:bCs/>
        </w:rPr>
        <w:t>“</w:t>
      </w:r>
      <w:r w:rsidRPr="00A43747">
        <w:rPr>
          <w:rFonts w:cs="Arial"/>
          <w:b/>
          <w:bCs/>
        </w:rPr>
        <w:t>NRI</w:t>
      </w:r>
      <w:r w:rsidRPr="00A43747">
        <w:rPr>
          <w:rFonts w:cs="Arial"/>
          <w:bCs/>
        </w:rPr>
        <w:t xml:space="preserve">” means Gross Potential Rents, </w:t>
      </w:r>
      <w:r w:rsidRPr="00A43747">
        <w:rPr>
          <w:rFonts w:cs="Arial"/>
        </w:rPr>
        <w:t xml:space="preserve">net of </w:t>
      </w:r>
      <w:r w:rsidRPr="00A43747">
        <w:rPr>
          <w:rFonts w:cs="Arial"/>
          <w:bCs/>
        </w:rPr>
        <w:t xml:space="preserve">Concessions, </w:t>
      </w:r>
      <w:r w:rsidRPr="00A43747">
        <w:rPr>
          <w:rFonts w:cs="Arial"/>
        </w:rPr>
        <w:t xml:space="preserve">subject to the Vacancy Rate, minus Bad Debt, plus </w:t>
      </w:r>
      <w:proofErr w:type="gramStart"/>
      <w:r w:rsidRPr="00A43747">
        <w:rPr>
          <w:rFonts w:cs="Arial"/>
        </w:rPr>
        <w:t>short term</w:t>
      </w:r>
      <w:proofErr w:type="gramEnd"/>
      <w:r w:rsidRPr="00A43747">
        <w:rPr>
          <w:rFonts w:cs="Arial"/>
        </w:rPr>
        <w:t xml:space="preserve"> Lease premiums (up to a maximum of 5% of the units in the Mortgaged Property, net of any prepaid revenue</w:t>
      </w:r>
      <w:r w:rsidRPr="00A8392B">
        <w:rPr>
          <w:rFonts w:cs="Arial"/>
        </w:rPr>
        <w:t>s)</w:t>
      </w:r>
      <w:r w:rsidR="00A8392B" w:rsidRPr="00A8392B">
        <w:rPr>
          <w:rFonts w:cs="Arial"/>
        </w:rPr>
        <w:t xml:space="preserve">, </w:t>
      </w:r>
      <w:r w:rsidRPr="007A323C">
        <w:rPr>
          <w:rFonts w:cs="Arial"/>
        </w:rPr>
        <w:t>plus any payments from any governmental payor program</w:t>
      </w:r>
      <w:r w:rsidR="00A8392B" w:rsidRPr="007A323C">
        <w:rPr>
          <w:rFonts w:cs="Arial"/>
        </w:rPr>
        <w:t xml:space="preserve"> if the Loan is a Seniors Housing Loan. </w:t>
      </w:r>
    </w:p>
    <w:p w14:paraId="0576414E" w14:textId="77777777" w:rsidR="00F8515D" w:rsidRPr="00A43747" w:rsidRDefault="00F8515D" w:rsidP="00F8515D">
      <w:pPr>
        <w:ind w:left="720"/>
        <w:rPr>
          <w:rFonts w:cs="Arial"/>
          <w:b/>
          <w:bCs/>
        </w:rPr>
      </w:pPr>
    </w:p>
    <w:p w14:paraId="24B3F401" w14:textId="77777777" w:rsidR="00F8515D" w:rsidRPr="00A43747" w:rsidRDefault="00F8515D" w:rsidP="00F8515D">
      <w:pPr>
        <w:ind w:left="720"/>
        <w:rPr>
          <w:rFonts w:cs="Arial"/>
        </w:rPr>
      </w:pPr>
      <w:r w:rsidRPr="00A43747">
        <w:rPr>
          <w:rFonts w:cs="Arial"/>
        </w:rPr>
        <w:t>“</w:t>
      </w:r>
      <w:r w:rsidRPr="00A43747">
        <w:rPr>
          <w:rFonts w:cs="Arial"/>
          <w:b/>
        </w:rPr>
        <w:t>Operating Expenses</w:t>
      </w:r>
      <w:r w:rsidRPr="00A43747">
        <w:rPr>
          <w:rFonts w:cs="Arial"/>
        </w:rPr>
        <w:t>” means the greater of: (i) the annualized Actual Operating Expenses for the Mortgaged Property, or (ii) the Underwritten Operating Expenses.</w:t>
      </w:r>
    </w:p>
    <w:p w14:paraId="26A48A58" w14:textId="77777777" w:rsidR="00F8515D" w:rsidRPr="00A43747" w:rsidRDefault="00F8515D" w:rsidP="00F8515D">
      <w:pPr>
        <w:ind w:left="720"/>
        <w:rPr>
          <w:rFonts w:cs="Arial"/>
        </w:rPr>
      </w:pPr>
    </w:p>
    <w:p w14:paraId="115C2135" w14:textId="6A8F991B" w:rsidR="00F8515D" w:rsidRPr="00A43747" w:rsidRDefault="00F8515D" w:rsidP="00F8515D">
      <w:pPr>
        <w:ind w:left="720"/>
        <w:rPr>
          <w:rFonts w:cs="Arial"/>
        </w:rPr>
      </w:pPr>
      <w:r w:rsidRPr="00A43747">
        <w:rPr>
          <w:rFonts w:cs="Arial"/>
        </w:rPr>
        <w:t>“</w:t>
      </w:r>
      <w:r w:rsidRPr="00A43747">
        <w:rPr>
          <w:rFonts w:cs="Arial"/>
          <w:b/>
        </w:rPr>
        <w:t>Prior Work</w:t>
      </w:r>
      <w:r w:rsidRPr="00A43747">
        <w:rPr>
          <w:rFonts w:cs="Arial"/>
        </w:rPr>
        <w:t xml:space="preserve">” is defined in Section </w:t>
      </w:r>
      <w:r w:rsidR="00A36D03">
        <w:rPr>
          <w:rFonts w:cs="Arial"/>
        </w:rPr>
        <w:t>5.54</w:t>
      </w:r>
      <w:r w:rsidRPr="00A43747">
        <w:rPr>
          <w:rFonts w:cs="Arial"/>
        </w:rPr>
        <w:t>.</w:t>
      </w:r>
    </w:p>
    <w:p w14:paraId="1672B82C" w14:textId="77777777" w:rsidR="00F8515D" w:rsidRPr="00A43747" w:rsidRDefault="00F8515D" w:rsidP="00F8515D">
      <w:pPr>
        <w:ind w:left="720"/>
        <w:rPr>
          <w:rFonts w:cs="Arial"/>
        </w:rPr>
      </w:pPr>
    </w:p>
    <w:p w14:paraId="4A103DDF" w14:textId="7DC88F93" w:rsidR="00F8515D" w:rsidRPr="00A43747" w:rsidRDefault="00F8515D" w:rsidP="00F8515D">
      <w:pPr>
        <w:ind w:left="720"/>
        <w:rPr>
          <w:rFonts w:cs="Arial"/>
        </w:rPr>
      </w:pPr>
      <w:r w:rsidRPr="00A43747">
        <w:rPr>
          <w:rFonts w:cs="Arial"/>
        </w:rPr>
        <w:t>“</w:t>
      </w:r>
      <w:r w:rsidRPr="00A43747">
        <w:rPr>
          <w:rFonts w:cs="Arial"/>
          <w:b/>
        </w:rPr>
        <w:t>Underwritten Acceptable Other Income</w:t>
      </w:r>
      <w:r w:rsidRPr="00A43747">
        <w:rPr>
          <w:rFonts w:cs="Arial"/>
        </w:rPr>
        <w:t xml:space="preserve">” </w:t>
      </w:r>
      <w:r w:rsidR="004A3F57">
        <w:rPr>
          <w:rFonts w:cs="Arial"/>
        </w:rPr>
        <w:t xml:space="preserve">is defined in </w:t>
      </w:r>
      <w:r w:rsidR="00D912D0">
        <w:rPr>
          <w:rFonts w:cs="Arial"/>
        </w:rPr>
        <w:t>Section 1.05</w:t>
      </w:r>
      <w:r w:rsidR="004A3F57">
        <w:rPr>
          <w:rFonts w:cs="Arial"/>
        </w:rPr>
        <w:t xml:space="preserve">. </w:t>
      </w:r>
    </w:p>
    <w:p w14:paraId="6C2279F3" w14:textId="77777777" w:rsidR="00F8515D" w:rsidRPr="00A43747" w:rsidRDefault="00F8515D" w:rsidP="00F8515D">
      <w:pPr>
        <w:ind w:left="720"/>
        <w:rPr>
          <w:rFonts w:cs="Arial"/>
        </w:rPr>
      </w:pPr>
    </w:p>
    <w:p w14:paraId="01AD5106" w14:textId="123906BF" w:rsidR="00F8515D" w:rsidRPr="00A43747" w:rsidRDefault="00F8515D" w:rsidP="00F8515D">
      <w:pPr>
        <w:ind w:left="720"/>
        <w:rPr>
          <w:rFonts w:cs="Arial"/>
        </w:rPr>
      </w:pPr>
      <w:r w:rsidRPr="00A43747">
        <w:rPr>
          <w:rFonts w:cs="Arial"/>
        </w:rPr>
        <w:t>“</w:t>
      </w:r>
      <w:r w:rsidRPr="00A43747">
        <w:rPr>
          <w:rFonts w:cs="Arial"/>
          <w:b/>
        </w:rPr>
        <w:t>Underwritten Fixed Expenses</w:t>
      </w:r>
      <w:r w:rsidRPr="00A43747">
        <w:rPr>
          <w:rFonts w:cs="Arial"/>
        </w:rPr>
        <w:t xml:space="preserve">” </w:t>
      </w:r>
      <w:r w:rsidR="004A3F57">
        <w:rPr>
          <w:rFonts w:cs="Arial"/>
        </w:rPr>
        <w:t xml:space="preserve">is defined in </w:t>
      </w:r>
      <w:r w:rsidR="00D912D0">
        <w:rPr>
          <w:rFonts w:cs="Arial"/>
        </w:rPr>
        <w:t>Section 1.05</w:t>
      </w:r>
      <w:r w:rsidR="004A3F57">
        <w:rPr>
          <w:rFonts w:cs="Arial"/>
        </w:rPr>
        <w:t xml:space="preserve">. </w:t>
      </w:r>
    </w:p>
    <w:p w14:paraId="7109FC76" w14:textId="77777777" w:rsidR="00F8515D" w:rsidRPr="00A43747" w:rsidRDefault="00F8515D" w:rsidP="00F8515D">
      <w:pPr>
        <w:ind w:left="720"/>
        <w:rPr>
          <w:rFonts w:cs="Arial"/>
        </w:rPr>
      </w:pPr>
    </w:p>
    <w:p w14:paraId="27273E4C" w14:textId="30C4891B" w:rsidR="00F8515D" w:rsidRPr="00A43747" w:rsidRDefault="00F8515D" w:rsidP="00F8515D">
      <w:pPr>
        <w:ind w:left="720"/>
        <w:rPr>
          <w:rFonts w:cs="Arial"/>
        </w:rPr>
      </w:pPr>
      <w:r w:rsidRPr="00A43747">
        <w:rPr>
          <w:rFonts w:cs="Arial"/>
        </w:rPr>
        <w:t>“</w:t>
      </w:r>
      <w:r w:rsidRPr="00A43747">
        <w:rPr>
          <w:rFonts w:cs="Arial"/>
          <w:b/>
        </w:rPr>
        <w:t>Underwritten Management Fee</w:t>
      </w:r>
      <w:r w:rsidRPr="00A43747">
        <w:rPr>
          <w:rFonts w:cs="Arial"/>
        </w:rPr>
        <w:t xml:space="preserve">” </w:t>
      </w:r>
      <w:r w:rsidR="00341A47">
        <w:rPr>
          <w:rFonts w:cs="Arial"/>
        </w:rPr>
        <w:t xml:space="preserve">is defined in </w:t>
      </w:r>
      <w:r w:rsidR="00D912D0">
        <w:rPr>
          <w:rFonts w:cs="Arial"/>
        </w:rPr>
        <w:t>Section 1.05</w:t>
      </w:r>
      <w:r w:rsidR="00341A47">
        <w:rPr>
          <w:rFonts w:cs="Arial"/>
        </w:rPr>
        <w:t xml:space="preserve">. </w:t>
      </w:r>
    </w:p>
    <w:p w14:paraId="278DA4BB" w14:textId="77777777" w:rsidR="00F8515D" w:rsidRPr="00A43747" w:rsidRDefault="00F8515D" w:rsidP="00F8515D">
      <w:pPr>
        <w:ind w:left="720"/>
        <w:rPr>
          <w:rFonts w:cs="Arial"/>
          <w:bCs/>
        </w:rPr>
      </w:pPr>
    </w:p>
    <w:p w14:paraId="64281E61" w14:textId="7ECCA1BA" w:rsidR="00341A47" w:rsidRPr="00A43747" w:rsidRDefault="00F8515D" w:rsidP="00F8515D">
      <w:pPr>
        <w:ind w:left="720"/>
        <w:rPr>
          <w:rFonts w:cs="Arial"/>
        </w:rPr>
      </w:pPr>
      <w:r w:rsidRPr="00A43747">
        <w:rPr>
          <w:rFonts w:cs="Arial"/>
        </w:rPr>
        <w:t>“</w:t>
      </w:r>
      <w:r w:rsidRPr="00A43747">
        <w:rPr>
          <w:rFonts w:cs="Arial"/>
          <w:b/>
        </w:rPr>
        <w:t>Underwritten Operating Expenses</w:t>
      </w:r>
      <w:r w:rsidRPr="00A43747">
        <w:rPr>
          <w:rFonts w:cs="Arial"/>
        </w:rPr>
        <w:t xml:space="preserve">” </w:t>
      </w:r>
      <w:r w:rsidR="00341A47">
        <w:rPr>
          <w:rFonts w:cs="Arial"/>
        </w:rPr>
        <w:t xml:space="preserve">is defined in </w:t>
      </w:r>
      <w:r w:rsidR="00D912D0">
        <w:rPr>
          <w:rFonts w:cs="Arial"/>
        </w:rPr>
        <w:t>Section 1.05</w:t>
      </w:r>
      <w:r w:rsidR="00341A47">
        <w:rPr>
          <w:rFonts w:cs="Arial"/>
        </w:rPr>
        <w:t xml:space="preserve">. </w:t>
      </w:r>
    </w:p>
    <w:p w14:paraId="02765200" w14:textId="77777777" w:rsidR="00F8515D" w:rsidRPr="00A43747" w:rsidRDefault="00F8515D" w:rsidP="00F8515D">
      <w:pPr>
        <w:ind w:left="720"/>
        <w:rPr>
          <w:rFonts w:cs="Arial"/>
        </w:rPr>
      </w:pPr>
    </w:p>
    <w:p w14:paraId="103471CA" w14:textId="77777777" w:rsidR="00F8515D" w:rsidRPr="00A43747" w:rsidRDefault="00F8515D" w:rsidP="00F8515D">
      <w:pPr>
        <w:ind w:left="720"/>
        <w:rPr>
          <w:rFonts w:cs="Arial"/>
        </w:rPr>
      </w:pPr>
      <w:r w:rsidRPr="00A43747">
        <w:rPr>
          <w:rFonts w:cs="Arial"/>
          <w:bCs/>
        </w:rPr>
        <w:t>“</w:t>
      </w:r>
      <w:r w:rsidRPr="00A43747">
        <w:rPr>
          <w:rFonts w:cs="Arial"/>
          <w:b/>
          <w:bCs/>
        </w:rPr>
        <w:t>Vacancy Rate</w:t>
      </w:r>
      <w:r w:rsidRPr="00A43747">
        <w:rPr>
          <w:rFonts w:cs="Arial"/>
        </w:rPr>
        <w:t>” means the greater of: (i) actual vacancy, or (ii) 5%, as determined by Lender. Units occupied by employees and model units will be deemed occupied for purposes of calculating the Vacancy Rate.</w:t>
      </w:r>
    </w:p>
    <w:p w14:paraId="44B03CA4" w14:textId="27538874" w:rsidR="000A1DF9" w:rsidRPr="00A43747" w:rsidRDefault="000A1DF9">
      <w:pPr>
        <w:spacing w:after="160" w:line="259" w:lineRule="auto"/>
        <w:rPr>
          <w:rFonts w:cs="Arial"/>
        </w:rPr>
      </w:pPr>
    </w:p>
    <w:sectPr w:rsidR="000A1DF9" w:rsidRPr="00A43747"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25DF" w14:textId="77777777" w:rsidR="0031553B" w:rsidRDefault="0031553B" w:rsidP="007143D8">
    <w:pPr>
      <w:pStyle w:val="Footer"/>
      <w:tabs>
        <w:tab w:val="left" w:pos="473"/>
        <w:tab w:val="right" w:pos="10080"/>
      </w:tabs>
    </w:pPr>
  </w:p>
  <w:p w14:paraId="54352366" w14:textId="4683BD42" w:rsidR="007143D8" w:rsidRPr="00A31838" w:rsidRDefault="007143D8" w:rsidP="007143D8">
    <w:pPr>
      <w:pStyle w:val="Footer"/>
      <w:tabs>
        <w:tab w:val="left" w:pos="473"/>
        <w:tab w:val="right" w:pos="10080"/>
      </w:tabs>
    </w:pPr>
    <w:r w:rsidRPr="00A31838">
      <w:t>Rider to</w:t>
    </w:r>
    <w:r w:rsidR="00236A4E">
      <w:t xml:space="preserve"> </w:t>
    </w:r>
    <w:r>
      <w:t>Loan Agreement</w:t>
    </w:r>
    <w:r w:rsidRPr="00A31838">
      <w:t xml:space="preserve"> </w:t>
    </w:r>
  </w:p>
  <w:p w14:paraId="036F8DAB" w14:textId="16A7976B" w:rsidR="00E73FB7" w:rsidRDefault="00F8515D" w:rsidP="000A1DF9">
    <w:pPr>
      <w:pStyle w:val="Footer"/>
      <w:tabs>
        <w:tab w:val="right" w:pos="10080"/>
      </w:tabs>
    </w:pPr>
    <w:r w:rsidRPr="00F8515D">
      <w:t>Lease-</w:t>
    </w:r>
    <w:r w:rsidR="00236A4E">
      <w:t>U</w:t>
    </w:r>
    <w:r w:rsidRPr="00F8515D">
      <w:t xml:space="preserve">p Transaction </w:t>
    </w:r>
    <w:r w:rsidR="00236A4E">
      <w:t xml:space="preserve">- </w:t>
    </w:r>
    <w:r w:rsidRPr="00F8515D">
      <w:t>No Credit Enhancement Required</w:t>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12DB" w14:textId="77777777" w:rsidR="0031553B" w:rsidRDefault="0031553B" w:rsidP="006903FD">
    <w:pPr>
      <w:pStyle w:val="Footer"/>
      <w:tabs>
        <w:tab w:val="left" w:pos="473"/>
        <w:tab w:val="right" w:pos="10080"/>
      </w:tabs>
    </w:pPr>
  </w:p>
  <w:p w14:paraId="610E9774" w14:textId="29E86801" w:rsidR="000A1DF9" w:rsidRPr="00F8515D" w:rsidRDefault="000A1DF9" w:rsidP="006903FD">
    <w:pPr>
      <w:pStyle w:val="Footer"/>
      <w:tabs>
        <w:tab w:val="left" w:pos="473"/>
        <w:tab w:val="right" w:pos="10080"/>
      </w:tabs>
    </w:pPr>
    <w:r w:rsidRPr="00F8515D">
      <w:t xml:space="preserve">Rider to </w:t>
    </w:r>
    <w:r w:rsidR="00D92550" w:rsidRPr="00F8515D">
      <w:t>Loan Agreement</w:t>
    </w:r>
    <w:r w:rsidRPr="00F8515D">
      <w:t xml:space="preserve"> </w:t>
    </w:r>
  </w:p>
  <w:p w14:paraId="22D2B3CD" w14:textId="53EAC19C" w:rsidR="006903FD" w:rsidRPr="00A31838" w:rsidRDefault="00F8515D" w:rsidP="006903FD">
    <w:pPr>
      <w:pStyle w:val="Footer"/>
      <w:tabs>
        <w:tab w:val="left" w:pos="473"/>
        <w:tab w:val="right" w:pos="10080"/>
      </w:tabs>
      <w:rPr>
        <w:sz w:val="18"/>
        <w:szCs w:val="18"/>
      </w:rPr>
    </w:pPr>
    <w:r w:rsidRPr="00F8515D">
      <w:t>Lease-</w:t>
    </w:r>
    <w:r w:rsidR="00236A4E">
      <w:t>U</w:t>
    </w:r>
    <w:r w:rsidRPr="00F8515D">
      <w:t xml:space="preserve">p Transaction </w:t>
    </w:r>
    <w:r w:rsidR="00236A4E">
      <w:t xml:space="preserve">- </w:t>
    </w:r>
    <w:r w:rsidRPr="00F8515D">
      <w:t>No Credit Enhancement Required</w:t>
    </w:r>
    <w:r w:rsidR="006903FD" w:rsidRPr="00A31838">
      <w:rPr>
        <w:sz w:val="22"/>
        <w:szCs w:val="22"/>
      </w:rPr>
      <w:tab/>
    </w:r>
    <w:r w:rsidR="006903FD"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851C1"/>
    <w:rsid w:val="00085C81"/>
    <w:rsid w:val="00090AF3"/>
    <w:rsid w:val="000A1DF9"/>
    <w:rsid w:val="000B3B91"/>
    <w:rsid w:val="000D408E"/>
    <w:rsid w:val="00112142"/>
    <w:rsid w:val="00147E71"/>
    <w:rsid w:val="002160F9"/>
    <w:rsid w:val="00236A4E"/>
    <w:rsid w:val="00286396"/>
    <w:rsid w:val="002C21E5"/>
    <w:rsid w:val="002D689A"/>
    <w:rsid w:val="00313001"/>
    <w:rsid w:val="0031553B"/>
    <w:rsid w:val="003373D3"/>
    <w:rsid w:val="00341A47"/>
    <w:rsid w:val="00346FAC"/>
    <w:rsid w:val="003530CF"/>
    <w:rsid w:val="004109EA"/>
    <w:rsid w:val="00477ACE"/>
    <w:rsid w:val="004A3F57"/>
    <w:rsid w:val="00560E9F"/>
    <w:rsid w:val="005F7525"/>
    <w:rsid w:val="005F7BE9"/>
    <w:rsid w:val="006903FD"/>
    <w:rsid w:val="006946FC"/>
    <w:rsid w:val="006A1F77"/>
    <w:rsid w:val="007143D8"/>
    <w:rsid w:val="007A323C"/>
    <w:rsid w:val="007E48AB"/>
    <w:rsid w:val="009B3079"/>
    <w:rsid w:val="009F5776"/>
    <w:rsid w:val="00A31838"/>
    <w:rsid w:val="00A36D03"/>
    <w:rsid w:val="00A43747"/>
    <w:rsid w:val="00A51C85"/>
    <w:rsid w:val="00A8392B"/>
    <w:rsid w:val="00AA6FE7"/>
    <w:rsid w:val="00B4519B"/>
    <w:rsid w:val="00B604F3"/>
    <w:rsid w:val="00BA5DD0"/>
    <w:rsid w:val="00BC49FE"/>
    <w:rsid w:val="00BC5C2C"/>
    <w:rsid w:val="00BD0D59"/>
    <w:rsid w:val="00BE18AF"/>
    <w:rsid w:val="00BF7B1D"/>
    <w:rsid w:val="00C008B4"/>
    <w:rsid w:val="00C26A9F"/>
    <w:rsid w:val="00C27178"/>
    <w:rsid w:val="00CA22B1"/>
    <w:rsid w:val="00CE2FE6"/>
    <w:rsid w:val="00D01C1F"/>
    <w:rsid w:val="00D912D0"/>
    <w:rsid w:val="00D92550"/>
    <w:rsid w:val="00DC76CA"/>
    <w:rsid w:val="00E67239"/>
    <w:rsid w:val="00E73FB7"/>
    <w:rsid w:val="00E85A84"/>
    <w:rsid w:val="00EC3501"/>
    <w:rsid w:val="00EF2A33"/>
    <w:rsid w:val="00F8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CoverPageLoanNumberandName">
    <w:name w:val="Cover Page (Loan Number and Name)"/>
    <w:basedOn w:val="Normal"/>
    <w:rsid w:val="00085C81"/>
    <w:pPr>
      <w:spacing w:after="24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2160F9"/>
    <w:rPr>
      <w:sz w:val="16"/>
      <w:szCs w:val="16"/>
    </w:rPr>
  </w:style>
  <w:style w:type="paragraph" w:styleId="CommentText">
    <w:name w:val="annotation text"/>
    <w:basedOn w:val="Normal"/>
    <w:link w:val="CommentTextChar"/>
    <w:uiPriority w:val="99"/>
    <w:semiHidden/>
    <w:unhideWhenUsed/>
    <w:rsid w:val="002160F9"/>
  </w:style>
  <w:style w:type="character" w:customStyle="1" w:styleId="CommentTextChar">
    <w:name w:val="Comment Text Char"/>
    <w:basedOn w:val="DefaultParagraphFont"/>
    <w:link w:val="CommentText"/>
    <w:uiPriority w:val="99"/>
    <w:semiHidden/>
    <w:rsid w:val="002160F9"/>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2160F9"/>
    <w:rPr>
      <w:b/>
      <w:bCs/>
    </w:rPr>
  </w:style>
  <w:style w:type="character" w:customStyle="1" w:styleId="CommentSubjectChar">
    <w:name w:val="Comment Subject Char"/>
    <w:basedOn w:val="CommentTextChar"/>
    <w:link w:val="CommentSubject"/>
    <w:uiPriority w:val="99"/>
    <w:semiHidden/>
    <w:rsid w:val="002160F9"/>
    <w:rPr>
      <w:rFonts w:eastAsia="Times New Roman" w:cs="Times New Roman"/>
      <w:b/>
      <w:bCs/>
      <w:color w:val="auto"/>
      <w:szCs w:val="20"/>
    </w:rPr>
  </w:style>
  <w:style w:type="paragraph" w:styleId="BodyTextIndent2">
    <w:name w:val="Body Text Indent 2"/>
    <w:basedOn w:val="Normal"/>
    <w:link w:val="BodyTextIndent2Char"/>
    <w:uiPriority w:val="99"/>
    <w:unhideWhenUsed/>
    <w:rsid w:val="00313001"/>
    <w:pPr>
      <w:spacing w:after="120" w:line="480" w:lineRule="auto"/>
      <w:ind w:left="360"/>
    </w:pPr>
  </w:style>
  <w:style w:type="character" w:customStyle="1" w:styleId="BodyTextIndent2Char">
    <w:name w:val="Body Text Indent 2 Char"/>
    <w:basedOn w:val="DefaultParagraphFont"/>
    <w:link w:val="BodyTextIndent2"/>
    <w:uiPriority w:val="99"/>
    <w:rsid w:val="00313001"/>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345">
      <w:bodyDiv w:val="1"/>
      <w:marLeft w:val="0"/>
      <w:marRight w:val="0"/>
      <w:marTop w:val="0"/>
      <w:marBottom w:val="0"/>
      <w:divBdr>
        <w:top w:val="none" w:sz="0" w:space="0" w:color="auto"/>
        <w:left w:val="none" w:sz="0" w:space="0" w:color="auto"/>
        <w:bottom w:val="none" w:sz="0" w:space="0" w:color="auto"/>
        <w:right w:val="none" w:sz="0" w:space="0" w:color="auto"/>
      </w:divBdr>
    </w:div>
    <w:div w:id="114914167">
      <w:bodyDiv w:val="1"/>
      <w:marLeft w:val="0"/>
      <w:marRight w:val="0"/>
      <w:marTop w:val="0"/>
      <w:marBottom w:val="0"/>
      <w:divBdr>
        <w:top w:val="none" w:sz="0" w:space="0" w:color="auto"/>
        <w:left w:val="none" w:sz="0" w:space="0" w:color="auto"/>
        <w:bottom w:val="none" w:sz="0" w:space="0" w:color="auto"/>
        <w:right w:val="none" w:sz="0" w:space="0" w:color="auto"/>
      </w:divBdr>
    </w:div>
    <w:div w:id="933828957">
      <w:bodyDiv w:val="1"/>
      <w:marLeft w:val="0"/>
      <w:marRight w:val="0"/>
      <w:marTop w:val="0"/>
      <w:marBottom w:val="0"/>
      <w:divBdr>
        <w:top w:val="none" w:sz="0" w:space="0" w:color="auto"/>
        <w:left w:val="none" w:sz="0" w:space="0" w:color="auto"/>
        <w:bottom w:val="none" w:sz="0" w:space="0" w:color="auto"/>
        <w:right w:val="none" w:sz="0" w:space="0" w:color="auto"/>
      </w:divBdr>
    </w:div>
    <w:div w:id="1063943527">
      <w:bodyDiv w:val="1"/>
      <w:marLeft w:val="0"/>
      <w:marRight w:val="0"/>
      <w:marTop w:val="0"/>
      <w:marBottom w:val="0"/>
      <w:divBdr>
        <w:top w:val="none" w:sz="0" w:space="0" w:color="auto"/>
        <w:left w:val="none" w:sz="0" w:space="0" w:color="auto"/>
        <w:bottom w:val="none" w:sz="0" w:space="0" w:color="auto"/>
        <w:right w:val="none" w:sz="0" w:space="0" w:color="auto"/>
      </w:divBdr>
    </w:div>
    <w:div w:id="1113553234">
      <w:bodyDiv w:val="1"/>
      <w:marLeft w:val="0"/>
      <w:marRight w:val="0"/>
      <w:marTop w:val="0"/>
      <w:marBottom w:val="0"/>
      <w:divBdr>
        <w:top w:val="none" w:sz="0" w:space="0" w:color="auto"/>
        <w:left w:val="none" w:sz="0" w:space="0" w:color="auto"/>
        <w:bottom w:val="none" w:sz="0" w:space="0" w:color="auto"/>
        <w:right w:val="none" w:sz="0" w:space="0" w:color="auto"/>
      </w:divBdr>
    </w:div>
    <w:div w:id="1312641280">
      <w:bodyDiv w:val="1"/>
      <w:marLeft w:val="0"/>
      <w:marRight w:val="0"/>
      <w:marTop w:val="0"/>
      <w:marBottom w:val="0"/>
      <w:divBdr>
        <w:top w:val="none" w:sz="0" w:space="0" w:color="auto"/>
        <w:left w:val="none" w:sz="0" w:space="0" w:color="auto"/>
        <w:bottom w:val="none" w:sz="0" w:space="0" w:color="auto"/>
        <w:right w:val="none" w:sz="0" w:space="0" w:color="auto"/>
      </w:divBdr>
    </w:div>
    <w:div w:id="1556508190">
      <w:bodyDiv w:val="1"/>
      <w:marLeft w:val="0"/>
      <w:marRight w:val="0"/>
      <w:marTop w:val="0"/>
      <w:marBottom w:val="0"/>
      <w:divBdr>
        <w:top w:val="none" w:sz="0" w:space="0" w:color="auto"/>
        <w:left w:val="none" w:sz="0" w:space="0" w:color="auto"/>
        <w:bottom w:val="none" w:sz="0" w:space="0" w:color="auto"/>
        <w:right w:val="none" w:sz="0" w:space="0" w:color="auto"/>
      </w:divBdr>
    </w:div>
    <w:div w:id="1645501928">
      <w:bodyDiv w:val="1"/>
      <w:marLeft w:val="0"/>
      <w:marRight w:val="0"/>
      <w:marTop w:val="0"/>
      <w:marBottom w:val="0"/>
      <w:divBdr>
        <w:top w:val="none" w:sz="0" w:space="0" w:color="auto"/>
        <w:left w:val="none" w:sz="0" w:space="0" w:color="auto"/>
        <w:bottom w:val="none" w:sz="0" w:space="0" w:color="auto"/>
        <w:right w:val="none" w:sz="0" w:space="0" w:color="auto"/>
      </w:divBdr>
    </w:div>
    <w:div w:id="19024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2022-06-01T17:14:00Z</dcterms:created>
  <dcterms:modified xsi:type="dcterms:W3CDTF">2022-06-01T17:14:00Z</dcterms:modified>
</cp:coreProperties>
</file>