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693A" w14:textId="27BC1EF5" w:rsidR="00FC0A65" w:rsidRDefault="00FC0A65" w:rsidP="00FC0A65">
      <w:pPr>
        <w:jc w:val="center"/>
        <w:rPr>
          <w:rFonts w:cs="Arial"/>
          <w:b/>
          <w:sz w:val="24"/>
          <w:szCs w:val="24"/>
        </w:rPr>
      </w:pPr>
      <w:r>
        <w:rPr>
          <w:rFonts w:cs="Arial"/>
          <w:b/>
          <w:sz w:val="24"/>
          <w:szCs w:val="24"/>
        </w:rPr>
        <w:t>Rider to Project Note</w:t>
      </w:r>
      <w:r w:rsidR="006F167A">
        <w:rPr>
          <w:rFonts w:cs="Arial"/>
          <w:b/>
          <w:sz w:val="24"/>
          <w:szCs w:val="24"/>
        </w:rPr>
        <w:t xml:space="preserve"> </w:t>
      </w:r>
      <w:r w:rsidR="00466383">
        <w:rPr>
          <w:rFonts w:cs="Arial"/>
          <w:b/>
          <w:sz w:val="24"/>
          <w:szCs w:val="24"/>
        </w:rPr>
        <w:t>–</w:t>
      </w:r>
      <w:r w:rsidR="006F167A">
        <w:rPr>
          <w:rFonts w:cs="Arial"/>
          <w:b/>
          <w:sz w:val="24"/>
          <w:szCs w:val="24"/>
        </w:rPr>
        <w:t xml:space="preserve"> TEL</w:t>
      </w:r>
      <w:r w:rsidR="00466383">
        <w:rPr>
          <w:rFonts w:cs="Arial"/>
          <w:b/>
          <w:sz w:val="24"/>
          <w:szCs w:val="24"/>
        </w:rPr>
        <w:t xml:space="preserve"> </w:t>
      </w:r>
    </w:p>
    <w:p w14:paraId="389BDD4A" w14:textId="08EEEA16" w:rsidR="00E73FB7" w:rsidRPr="003F1CE6" w:rsidRDefault="00D50132" w:rsidP="003F1CE6">
      <w:pPr>
        <w:jc w:val="center"/>
        <w:rPr>
          <w:rFonts w:cs="Arial"/>
          <w:b/>
          <w:sz w:val="24"/>
          <w:szCs w:val="24"/>
        </w:rPr>
      </w:pPr>
      <w:r w:rsidRPr="003F1CE6">
        <w:rPr>
          <w:rFonts w:cs="Arial"/>
          <w:b/>
          <w:sz w:val="24"/>
          <w:szCs w:val="24"/>
        </w:rPr>
        <w:t>Ground Lease Mortgage</w:t>
      </w:r>
    </w:p>
    <w:p w14:paraId="3F42480C" w14:textId="3C5C7968" w:rsidR="00FC0A65" w:rsidRDefault="00FC0A65" w:rsidP="00FC0A65">
      <w:pPr>
        <w:shd w:val="clear" w:color="auto" w:fill="FFFFFF"/>
        <w:tabs>
          <w:tab w:val="left" w:pos="360"/>
          <w:tab w:val="left" w:pos="720"/>
          <w:tab w:val="left" w:pos="1080"/>
          <w:tab w:val="left" w:pos="1440"/>
        </w:tabs>
        <w:jc w:val="center"/>
        <w:rPr>
          <w:rFonts w:cs="Arial"/>
          <w:bCs/>
        </w:rPr>
      </w:pPr>
      <w:r>
        <w:rPr>
          <w:rFonts w:cs="Arial"/>
          <w:bCs/>
        </w:rPr>
        <w:t xml:space="preserve">(Revised </w:t>
      </w:r>
      <w:r w:rsidR="00A90CE3">
        <w:rPr>
          <w:rFonts w:cs="Arial"/>
          <w:bCs/>
        </w:rPr>
        <w:t>6-27</w:t>
      </w:r>
      <w:r>
        <w:rPr>
          <w:rFonts w:cs="Arial"/>
          <w:bCs/>
        </w:rPr>
        <w:t>-2023)</w:t>
      </w:r>
    </w:p>
    <w:p w14:paraId="23CBE3BA" w14:textId="5FEC289D" w:rsidR="000A1DF9" w:rsidRDefault="000A1DF9" w:rsidP="00E73FB7">
      <w:pPr>
        <w:shd w:val="clear" w:color="auto" w:fill="FFFFFF"/>
        <w:rPr>
          <w:bCs/>
        </w:rPr>
      </w:pPr>
    </w:p>
    <w:p w14:paraId="77EAD943" w14:textId="77777777" w:rsidR="00FC0A65" w:rsidRDefault="00FC0A65" w:rsidP="00FC0A65">
      <w:pPr>
        <w:tabs>
          <w:tab w:val="left" w:pos="-1440"/>
          <w:tab w:val="left" w:pos="-720"/>
          <w:tab w:val="left" w:pos="2880"/>
          <w:tab w:val="left" w:pos="3600"/>
          <w:tab w:val="left" w:pos="4320"/>
          <w:tab w:val="left" w:pos="5040"/>
          <w:tab w:val="left" w:pos="5760"/>
          <w:tab w:val="left" w:pos="6340"/>
          <w:tab w:val="left" w:pos="6480"/>
        </w:tabs>
        <w:suppressAutoHyphens/>
        <w:rPr>
          <w:rFonts w:cs="Arial"/>
        </w:rPr>
      </w:pPr>
      <w:bookmarkStart w:id="0" w:name="_Hlk84246294"/>
      <w:r>
        <w:rPr>
          <w:rFonts w:cs="Arial"/>
        </w:rPr>
        <w:t>The following changes are made to the Project Note that precedes this Rider:</w:t>
      </w:r>
      <w:bookmarkEnd w:id="0"/>
    </w:p>
    <w:p w14:paraId="4B5E095F" w14:textId="3AB2F226" w:rsidR="00D50132" w:rsidRDefault="00D50132" w:rsidP="00D50132">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5CFCE417" w14:textId="61E6E8FF" w:rsidR="008A2AFB" w:rsidRPr="00D43039" w:rsidRDefault="006F167A" w:rsidP="003F1CE6">
      <w:pPr>
        <w:tabs>
          <w:tab w:val="left" w:pos="-1440"/>
          <w:tab w:val="left" w:pos="-720"/>
          <w:tab w:val="left" w:pos="720"/>
          <w:tab w:val="left" w:pos="3600"/>
          <w:tab w:val="left" w:pos="4320"/>
          <w:tab w:val="left" w:pos="5040"/>
          <w:tab w:val="left" w:pos="5760"/>
          <w:tab w:val="left" w:pos="6340"/>
          <w:tab w:val="left" w:pos="6480"/>
        </w:tabs>
        <w:suppressAutoHyphens/>
        <w:ind w:left="720" w:hanging="720"/>
        <w:rPr>
          <w:rFonts w:cs="Arial"/>
        </w:rPr>
      </w:pPr>
      <w:r>
        <w:rPr>
          <w:rFonts w:cs="Arial"/>
        </w:rPr>
        <w:t>A</w:t>
      </w:r>
      <w:r w:rsidR="008A2AFB" w:rsidRPr="00E125F9">
        <w:rPr>
          <w:rFonts w:cs="Arial"/>
        </w:rPr>
        <w:t>.</w:t>
      </w:r>
      <w:r w:rsidR="008A2AFB" w:rsidRPr="00E125F9">
        <w:rPr>
          <w:rFonts w:cs="Arial"/>
        </w:rPr>
        <w:tab/>
      </w:r>
      <w:r w:rsidR="008A2AFB">
        <w:rPr>
          <w:rFonts w:cs="Arial"/>
        </w:rPr>
        <w:t xml:space="preserve">If </w:t>
      </w:r>
      <w:r w:rsidR="008A2AFB">
        <w:rPr>
          <w:rFonts w:cs="Arial"/>
          <w:color w:val="000000"/>
        </w:rPr>
        <w:t>Fee Estate Encumbered by Security Instrument</w:t>
      </w:r>
      <w:r w:rsidR="008A2AFB">
        <w:rPr>
          <w:rFonts w:cs="Arial"/>
        </w:rPr>
        <w:t xml:space="preserve"> is selected </w:t>
      </w:r>
      <w:r w:rsidR="008A2AFB" w:rsidRPr="00FF7D37">
        <w:rPr>
          <w:rFonts w:cs="Arial"/>
        </w:rPr>
        <w:t xml:space="preserve">in </w:t>
      </w:r>
      <w:r>
        <w:rPr>
          <w:rFonts w:cs="Arial"/>
        </w:rPr>
        <w:t xml:space="preserve">Section 1.04 of the </w:t>
      </w:r>
      <w:r w:rsidR="00D43039">
        <w:rPr>
          <w:rFonts w:cs="Arial"/>
        </w:rPr>
        <w:t>Continuing Covenant Agreement</w:t>
      </w:r>
      <w:r w:rsidR="008A2AFB" w:rsidRPr="00E125F9">
        <w:rPr>
          <w:rFonts w:cs="Arial"/>
        </w:rPr>
        <w:t xml:space="preserve">, </w:t>
      </w:r>
      <w:r w:rsidR="008A2AFB" w:rsidRPr="00D43039">
        <w:rPr>
          <w:rFonts w:cs="Arial"/>
        </w:rPr>
        <w:t xml:space="preserve">then Section </w:t>
      </w:r>
      <w:r w:rsidR="00D43039" w:rsidRPr="00D43039">
        <w:rPr>
          <w:rFonts w:cs="Arial"/>
        </w:rPr>
        <w:t>14(c)</w:t>
      </w:r>
      <w:r w:rsidR="008A2AFB" w:rsidRPr="00D43039">
        <w:rPr>
          <w:rFonts w:cs="Arial"/>
        </w:rPr>
        <w:t>(</w:t>
      </w:r>
      <w:r w:rsidR="00D43039" w:rsidRPr="00D43039">
        <w:rPr>
          <w:rFonts w:cs="Arial"/>
        </w:rPr>
        <w:t>xxxii</w:t>
      </w:r>
      <w:r w:rsidR="008A2AFB" w:rsidRPr="00D43039">
        <w:rPr>
          <w:rFonts w:cs="Arial"/>
        </w:rPr>
        <w:t>) is deleted and replaced with the following:</w:t>
      </w:r>
    </w:p>
    <w:p w14:paraId="6CC737A5" w14:textId="77777777" w:rsidR="008A2AFB" w:rsidRPr="00D43039" w:rsidRDefault="008A2AFB" w:rsidP="008A2AFB">
      <w:pPr>
        <w:pStyle w:val="ListParagraph"/>
        <w:tabs>
          <w:tab w:val="left" w:pos="-1440"/>
          <w:tab w:val="left" w:pos="-720"/>
          <w:tab w:val="left" w:pos="720"/>
          <w:tab w:val="left" w:pos="3600"/>
          <w:tab w:val="left" w:pos="4320"/>
          <w:tab w:val="left" w:pos="5040"/>
          <w:tab w:val="left" w:pos="5760"/>
          <w:tab w:val="left" w:pos="6340"/>
          <w:tab w:val="left" w:pos="6480"/>
        </w:tabs>
        <w:suppressAutoHyphens/>
        <w:ind w:left="1080"/>
        <w:rPr>
          <w:rFonts w:cs="Arial"/>
        </w:rPr>
      </w:pPr>
    </w:p>
    <w:p w14:paraId="31AEA75C" w14:textId="752E56A8" w:rsidR="008A2AFB" w:rsidRPr="00FF7D37" w:rsidRDefault="008A2AFB" w:rsidP="006C5BE0">
      <w:pPr>
        <w:tabs>
          <w:tab w:val="left" w:pos="-1440"/>
          <w:tab w:val="left" w:pos="-720"/>
          <w:tab w:val="left" w:pos="720"/>
          <w:tab w:val="left" w:pos="1440"/>
          <w:tab w:val="left" w:pos="3600"/>
          <w:tab w:val="left" w:pos="4320"/>
          <w:tab w:val="left" w:pos="5040"/>
          <w:tab w:val="left" w:pos="5760"/>
          <w:tab w:val="left" w:pos="6340"/>
          <w:tab w:val="left" w:pos="6480"/>
        </w:tabs>
        <w:suppressAutoHyphens/>
        <w:ind w:left="1440" w:hanging="1440"/>
        <w:rPr>
          <w:rFonts w:cs="Arial"/>
        </w:rPr>
      </w:pPr>
      <w:r w:rsidRPr="00D43039">
        <w:rPr>
          <w:rFonts w:cs="Arial"/>
        </w:rPr>
        <w:tab/>
        <w:t>(</w:t>
      </w:r>
      <w:r w:rsidR="00D43039" w:rsidRPr="00D43039">
        <w:rPr>
          <w:rFonts w:cs="Arial"/>
        </w:rPr>
        <w:t>xxxii</w:t>
      </w:r>
      <w:r w:rsidRPr="00D43039">
        <w:rPr>
          <w:rFonts w:cs="Arial"/>
        </w:rPr>
        <w:t>)</w:t>
      </w:r>
      <w:r w:rsidRPr="00FF7D37">
        <w:rPr>
          <w:rFonts w:cs="Arial"/>
        </w:rPr>
        <w:tab/>
      </w:r>
      <w:r w:rsidRPr="00D400DC">
        <w:rPr>
          <w:rFonts w:cs="Arial"/>
        </w:rPr>
        <w:t xml:space="preserve">Following a foreclosure under the Security Instrument, the purchaser at such foreclosure does not have fee title to the Mortgaged Property free and clear of the lien, operation, effect, </w:t>
      </w:r>
      <w:proofErr w:type="gramStart"/>
      <w:r w:rsidRPr="00D400DC">
        <w:rPr>
          <w:rFonts w:cs="Arial"/>
        </w:rPr>
        <w:t>terms</w:t>
      </w:r>
      <w:proofErr w:type="gramEnd"/>
      <w:r w:rsidRPr="00D400DC">
        <w:rPr>
          <w:rFonts w:cs="Arial"/>
        </w:rPr>
        <w:t xml:space="preserve"> and conditions of the Ground Lease, unless </w:t>
      </w:r>
      <w:r w:rsidR="00D43039">
        <w:rPr>
          <w:rFonts w:cs="Arial"/>
        </w:rPr>
        <w:t xml:space="preserve">Funding </w:t>
      </w:r>
      <w:r w:rsidRPr="00D400DC">
        <w:rPr>
          <w:rFonts w:cs="Arial"/>
        </w:rPr>
        <w:t>Lender or such purcha</w:t>
      </w:r>
      <w:r w:rsidRPr="00526DA4">
        <w:rPr>
          <w:rFonts w:cs="Arial"/>
        </w:rPr>
        <w:t>ser elects not to merge the Fee Estate and Leasehold Estate and to maintain the Ground Lease in full force and effect.</w:t>
      </w:r>
    </w:p>
    <w:p w14:paraId="145735FD" w14:textId="77777777" w:rsidR="008A2AFB" w:rsidRDefault="008A2AFB" w:rsidP="008A2AFB">
      <w:pPr>
        <w:tabs>
          <w:tab w:val="left" w:pos="-1440"/>
          <w:tab w:val="left" w:pos="-720"/>
          <w:tab w:val="left" w:pos="720"/>
          <w:tab w:val="left" w:pos="1440"/>
          <w:tab w:val="left" w:pos="3600"/>
          <w:tab w:val="left" w:pos="4320"/>
          <w:tab w:val="left" w:pos="5040"/>
          <w:tab w:val="left" w:pos="5760"/>
          <w:tab w:val="left" w:pos="6340"/>
          <w:tab w:val="left" w:pos="6480"/>
        </w:tabs>
        <w:suppressAutoHyphens/>
        <w:rPr>
          <w:rFonts w:cs="Arial"/>
        </w:rPr>
      </w:pPr>
      <w:r>
        <w:rPr>
          <w:rFonts w:cs="Arial"/>
        </w:rPr>
        <w:tab/>
      </w:r>
    </w:p>
    <w:p w14:paraId="70BEDBE9" w14:textId="35E8E33B" w:rsidR="008A2AFB" w:rsidRPr="001E3320" w:rsidRDefault="006F167A" w:rsidP="008A2AFB">
      <w:pPr>
        <w:tabs>
          <w:tab w:val="left" w:pos="-1440"/>
          <w:tab w:val="left" w:pos="-720"/>
          <w:tab w:val="left" w:pos="720"/>
          <w:tab w:val="left" w:pos="1440"/>
          <w:tab w:val="left" w:pos="3600"/>
          <w:tab w:val="left" w:pos="4320"/>
          <w:tab w:val="left" w:pos="5040"/>
          <w:tab w:val="left" w:pos="5760"/>
          <w:tab w:val="left" w:pos="6340"/>
          <w:tab w:val="left" w:pos="6480"/>
        </w:tabs>
        <w:suppressAutoHyphens/>
        <w:rPr>
          <w:rFonts w:cs="Arial"/>
          <w:b/>
        </w:rPr>
      </w:pPr>
      <w:r>
        <w:rPr>
          <w:rFonts w:cs="Arial"/>
        </w:rPr>
        <w:t>B</w:t>
      </w:r>
      <w:r w:rsidR="008A2AFB">
        <w:rPr>
          <w:rFonts w:cs="Arial"/>
        </w:rPr>
        <w:t>.</w:t>
      </w:r>
      <w:r w:rsidR="008A2AFB">
        <w:rPr>
          <w:rFonts w:cs="Arial"/>
        </w:rPr>
        <w:tab/>
      </w:r>
      <w:r w:rsidR="008A2AFB" w:rsidRPr="00B828B7">
        <w:rPr>
          <w:rFonts w:cs="Arial"/>
        </w:rPr>
        <w:t xml:space="preserve">Section </w:t>
      </w:r>
      <w:r w:rsidR="00D43039">
        <w:rPr>
          <w:rFonts w:cs="Arial"/>
        </w:rPr>
        <w:t>14(d)(xii)</w:t>
      </w:r>
      <w:r w:rsidR="008A2AFB" w:rsidRPr="00E125F9">
        <w:rPr>
          <w:rFonts w:cs="Arial"/>
        </w:rPr>
        <w:t xml:space="preserve"> is deleted and replaced with the following:</w:t>
      </w:r>
    </w:p>
    <w:p w14:paraId="650771E7" w14:textId="77777777" w:rsidR="008A2AFB" w:rsidRPr="001E3320" w:rsidRDefault="008A2AFB" w:rsidP="008A2AFB">
      <w:pPr>
        <w:tabs>
          <w:tab w:val="left" w:pos="-1440"/>
          <w:tab w:val="left" w:pos="-720"/>
          <w:tab w:val="left" w:pos="720"/>
          <w:tab w:val="left" w:pos="3600"/>
          <w:tab w:val="left" w:pos="4320"/>
          <w:tab w:val="left" w:pos="5040"/>
          <w:tab w:val="left" w:pos="5760"/>
          <w:tab w:val="left" w:pos="6340"/>
          <w:tab w:val="left" w:pos="6480"/>
        </w:tabs>
        <w:suppressAutoHyphens/>
        <w:rPr>
          <w:rFonts w:cs="Arial"/>
        </w:rPr>
      </w:pPr>
    </w:p>
    <w:p w14:paraId="69A99949" w14:textId="0DBF701B" w:rsidR="008A2AFB" w:rsidRDefault="008A2AFB" w:rsidP="008A2AFB">
      <w:pPr>
        <w:tabs>
          <w:tab w:val="left" w:pos="-1440"/>
          <w:tab w:val="left" w:pos="-720"/>
          <w:tab w:val="left" w:pos="720"/>
          <w:tab w:val="left" w:pos="1440"/>
          <w:tab w:val="left" w:pos="2160"/>
          <w:tab w:val="left" w:pos="3600"/>
          <w:tab w:val="left" w:pos="4320"/>
          <w:tab w:val="left" w:pos="5040"/>
          <w:tab w:val="left" w:pos="5760"/>
          <w:tab w:val="left" w:pos="6340"/>
          <w:tab w:val="left" w:pos="6480"/>
        </w:tabs>
        <w:suppressAutoHyphens/>
        <w:ind w:left="2160" w:hanging="2160"/>
        <w:rPr>
          <w:rFonts w:cs="Arial"/>
        </w:rPr>
      </w:pPr>
      <w:r w:rsidRPr="001E3320">
        <w:rPr>
          <w:rFonts w:cs="Arial"/>
        </w:rPr>
        <w:tab/>
        <w:t>(</w:t>
      </w:r>
      <w:r w:rsidR="00D43039">
        <w:rPr>
          <w:rFonts w:cs="Arial"/>
        </w:rPr>
        <w:t>xii</w:t>
      </w:r>
      <w:r w:rsidRPr="00D400DC">
        <w:rPr>
          <w:rFonts w:cs="Arial"/>
        </w:rPr>
        <w:t>)</w:t>
      </w:r>
      <w:r w:rsidRPr="00E125F9">
        <w:rPr>
          <w:rFonts w:cs="Arial"/>
        </w:rPr>
        <w:tab/>
      </w:r>
      <w:r>
        <w:rPr>
          <w:rFonts w:cs="Arial"/>
        </w:rPr>
        <w:t>A</w:t>
      </w:r>
      <w:r w:rsidRPr="00E125F9">
        <w:rPr>
          <w:rFonts w:cs="Arial"/>
        </w:rPr>
        <w:t xml:space="preserve">ny payments made by </w:t>
      </w:r>
      <w:r w:rsidR="00D43039">
        <w:rPr>
          <w:rFonts w:cs="Arial"/>
        </w:rPr>
        <w:t xml:space="preserve">Funding </w:t>
      </w:r>
      <w:r w:rsidRPr="00E125F9">
        <w:rPr>
          <w:rFonts w:cs="Arial"/>
        </w:rPr>
        <w:t>Lender to cure a Ground Lessee Default</w:t>
      </w:r>
      <w:r>
        <w:rPr>
          <w:rFonts w:cs="Arial"/>
        </w:rPr>
        <w:t>.</w:t>
      </w:r>
    </w:p>
    <w:p w14:paraId="180CFB2C" w14:textId="77777777" w:rsidR="008A2AFB" w:rsidRPr="00E60551" w:rsidRDefault="008A2AFB" w:rsidP="002B77F0">
      <w:pPr>
        <w:tabs>
          <w:tab w:val="left" w:pos="-1440"/>
          <w:tab w:val="left" w:pos="-720"/>
          <w:tab w:val="left" w:pos="720"/>
          <w:tab w:val="left" w:pos="3600"/>
          <w:tab w:val="left" w:pos="4320"/>
          <w:tab w:val="left" w:pos="5040"/>
          <w:tab w:val="left" w:pos="5760"/>
          <w:tab w:val="left" w:pos="6340"/>
          <w:tab w:val="left" w:pos="6480"/>
        </w:tabs>
        <w:suppressAutoHyphens/>
        <w:rPr>
          <w:rFonts w:cs="Arial"/>
        </w:rPr>
      </w:pPr>
    </w:p>
    <w:p w14:paraId="42F66080" w14:textId="426230F7" w:rsidR="002B77F0" w:rsidRPr="00E60551" w:rsidRDefault="006F167A" w:rsidP="002B77F0">
      <w:pPr>
        <w:tabs>
          <w:tab w:val="left" w:pos="-1440"/>
          <w:tab w:val="left" w:pos="-720"/>
          <w:tab w:val="left" w:pos="720"/>
          <w:tab w:val="left" w:pos="1440"/>
          <w:tab w:val="left" w:pos="4320"/>
          <w:tab w:val="left" w:pos="5040"/>
          <w:tab w:val="left" w:pos="5760"/>
          <w:tab w:val="left" w:pos="6340"/>
          <w:tab w:val="left" w:pos="6480"/>
        </w:tabs>
        <w:suppressAutoHyphens/>
        <w:rPr>
          <w:rFonts w:cs="Arial"/>
        </w:rPr>
      </w:pPr>
      <w:r>
        <w:rPr>
          <w:rFonts w:cs="Arial"/>
        </w:rPr>
        <w:t>C</w:t>
      </w:r>
      <w:r w:rsidR="008A2AFB">
        <w:rPr>
          <w:rFonts w:cs="Arial"/>
        </w:rPr>
        <w:t>.</w:t>
      </w:r>
      <w:r w:rsidR="008A2AFB">
        <w:rPr>
          <w:rFonts w:cs="Arial"/>
        </w:rPr>
        <w:tab/>
      </w:r>
      <w:r w:rsidR="001E3320" w:rsidRPr="00B828B7">
        <w:rPr>
          <w:rFonts w:cs="Arial"/>
        </w:rPr>
        <w:t xml:space="preserve">Section </w:t>
      </w:r>
      <w:r w:rsidR="00D43039">
        <w:rPr>
          <w:rFonts w:cs="Arial"/>
        </w:rPr>
        <w:t>14(e)</w:t>
      </w:r>
      <w:r w:rsidR="001E3320" w:rsidRPr="00B828B7">
        <w:rPr>
          <w:rFonts w:cs="Arial"/>
        </w:rPr>
        <w:t>(</w:t>
      </w:r>
      <w:r w:rsidR="00D43039">
        <w:rPr>
          <w:rFonts w:cs="Arial"/>
        </w:rPr>
        <w:t>xi</w:t>
      </w:r>
      <w:r w:rsidR="002B77F0" w:rsidRPr="00B828B7">
        <w:rPr>
          <w:rFonts w:cs="Arial"/>
        </w:rPr>
        <w:t>)</w:t>
      </w:r>
      <w:r w:rsidR="002B77F0" w:rsidRPr="00D400DC">
        <w:rPr>
          <w:rFonts w:cs="Arial"/>
        </w:rPr>
        <w:t xml:space="preserve"> is deleted</w:t>
      </w:r>
      <w:r w:rsidR="002B77F0" w:rsidRPr="00E60551">
        <w:rPr>
          <w:rFonts w:cs="Arial"/>
        </w:rPr>
        <w:t xml:space="preserve"> and replaced with the following</w:t>
      </w:r>
      <w:r w:rsidR="009516C1">
        <w:rPr>
          <w:rFonts w:cs="Arial"/>
        </w:rPr>
        <w:t>:</w:t>
      </w:r>
    </w:p>
    <w:p w14:paraId="00E0F9E0" w14:textId="77777777" w:rsidR="002B77F0" w:rsidRPr="00E60551" w:rsidRDefault="002B77F0" w:rsidP="002B77F0">
      <w:pPr>
        <w:tabs>
          <w:tab w:val="left" w:pos="-1440"/>
          <w:tab w:val="left" w:pos="-720"/>
          <w:tab w:val="left" w:pos="720"/>
          <w:tab w:val="left" w:pos="3600"/>
          <w:tab w:val="left" w:pos="4320"/>
          <w:tab w:val="left" w:pos="5040"/>
          <w:tab w:val="left" w:pos="5760"/>
          <w:tab w:val="left" w:pos="6340"/>
          <w:tab w:val="left" w:pos="6480"/>
        </w:tabs>
        <w:suppressAutoHyphens/>
        <w:rPr>
          <w:rFonts w:cs="Arial"/>
          <w:b/>
        </w:rPr>
      </w:pPr>
    </w:p>
    <w:p w14:paraId="51DEC504" w14:textId="5751C8C6" w:rsidR="002B77F0" w:rsidRPr="00E60551" w:rsidRDefault="002B77F0" w:rsidP="006C5BE0">
      <w:pPr>
        <w:tabs>
          <w:tab w:val="left" w:pos="-1440"/>
          <w:tab w:val="left" w:pos="-720"/>
          <w:tab w:val="left" w:pos="720"/>
          <w:tab w:val="left" w:pos="1440"/>
          <w:tab w:val="left" w:pos="5040"/>
          <w:tab w:val="left" w:pos="5760"/>
          <w:tab w:val="left" w:pos="6340"/>
          <w:tab w:val="left" w:pos="6480"/>
        </w:tabs>
        <w:suppressAutoHyphens/>
        <w:ind w:left="1440" w:hanging="720"/>
        <w:rPr>
          <w:rFonts w:cs="Arial"/>
        </w:rPr>
      </w:pPr>
      <w:r w:rsidRPr="00E60551">
        <w:rPr>
          <w:rFonts w:cs="Arial"/>
        </w:rPr>
        <w:t>(</w:t>
      </w:r>
      <w:r w:rsidR="00D43039">
        <w:rPr>
          <w:rFonts w:cs="Arial"/>
        </w:rPr>
        <w:t>xi</w:t>
      </w:r>
      <w:r w:rsidRPr="00E60551">
        <w:rPr>
          <w:rFonts w:cs="Arial"/>
        </w:rPr>
        <w:t>)</w:t>
      </w:r>
      <w:r w:rsidRPr="00E60551">
        <w:rPr>
          <w:rFonts w:cs="Arial"/>
        </w:rPr>
        <w:tab/>
        <w:t xml:space="preserve">Borrower fails to comply with the provisions of any of the following </w:t>
      </w:r>
      <w:r w:rsidR="009E6285">
        <w:rPr>
          <w:rFonts w:cs="Arial"/>
        </w:rPr>
        <w:t>S</w:t>
      </w:r>
      <w:r w:rsidRPr="00E60551">
        <w:rPr>
          <w:rFonts w:cs="Arial"/>
        </w:rPr>
        <w:t>ections</w:t>
      </w:r>
      <w:r w:rsidR="00D43039">
        <w:rPr>
          <w:rFonts w:cs="Arial"/>
        </w:rPr>
        <w:t xml:space="preserve"> of the Continuing Covenant Agreement</w:t>
      </w:r>
      <w:r w:rsidRPr="00E60551">
        <w:rPr>
          <w:rFonts w:cs="Arial"/>
        </w:rPr>
        <w:t>:</w:t>
      </w:r>
    </w:p>
    <w:p w14:paraId="6A38FE99" w14:textId="77777777" w:rsidR="002B77F0" w:rsidRPr="00E60551" w:rsidRDefault="002B77F0" w:rsidP="002B77F0">
      <w:pPr>
        <w:tabs>
          <w:tab w:val="left" w:pos="-1440"/>
          <w:tab w:val="left" w:pos="-720"/>
          <w:tab w:val="left" w:pos="720"/>
          <w:tab w:val="left" w:pos="3600"/>
          <w:tab w:val="left" w:pos="4320"/>
          <w:tab w:val="left" w:pos="5040"/>
          <w:tab w:val="left" w:pos="5760"/>
          <w:tab w:val="left" w:pos="6340"/>
          <w:tab w:val="left" w:pos="6480"/>
        </w:tabs>
        <w:suppressAutoHyphens/>
        <w:rPr>
          <w:rFonts w:cs="Arial"/>
        </w:rPr>
      </w:pPr>
    </w:p>
    <w:p w14:paraId="278C1836" w14:textId="77777777" w:rsidR="002B77F0" w:rsidRPr="00E125F9" w:rsidRDefault="002B77F0" w:rsidP="006C5BE0">
      <w:pPr>
        <w:pStyle w:val="ListParagraph"/>
        <w:numPr>
          <w:ilvl w:val="0"/>
          <w:numId w:val="3"/>
        </w:numPr>
        <w:tabs>
          <w:tab w:val="left" w:pos="-1440"/>
          <w:tab w:val="left" w:pos="-720"/>
          <w:tab w:val="left" w:pos="2160"/>
          <w:tab w:val="left" w:pos="2250"/>
          <w:tab w:val="left" w:pos="2880"/>
          <w:tab w:val="left" w:pos="4320"/>
          <w:tab w:val="left" w:pos="5040"/>
          <w:tab w:val="left" w:pos="5760"/>
          <w:tab w:val="left" w:pos="6340"/>
          <w:tab w:val="left" w:pos="6480"/>
        </w:tabs>
        <w:suppressAutoHyphens/>
        <w:ind w:left="2160"/>
        <w:rPr>
          <w:rFonts w:cs="Arial"/>
        </w:rPr>
      </w:pPr>
      <w:r w:rsidRPr="00B828B7">
        <w:rPr>
          <w:rFonts w:cs="Arial"/>
        </w:rPr>
        <w:t>Section 6.19(d)</w:t>
      </w:r>
      <w:r w:rsidRPr="00E125F9">
        <w:rPr>
          <w:rFonts w:cs="Arial"/>
        </w:rPr>
        <w:t xml:space="preserve"> (Covenants to Protect Leasehold Estate).</w:t>
      </w:r>
    </w:p>
    <w:p w14:paraId="4489A749" w14:textId="77777777" w:rsidR="002B77F0" w:rsidRPr="00D400DC" w:rsidRDefault="002B77F0" w:rsidP="006C5BE0">
      <w:pPr>
        <w:pStyle w:val="ListParagraph"/>
        <w:tabs>
          <w:tab w:val="left" w:pos="-1440"/>
          <w:tab w:val="left" w:pos="-720"/>
          <w:tab w:val="left" w:pos="2160"/>
          <w:tab w:val="left" w:pos="2250"/>
          <w:tab w:val="left" w:pos="2880"/>
          <w:tab w:val="left" w:pos="4320"/>
          <w:tab w:val="left" w:pos="5040"/>
          <w:tab w:val="left" w:pos="5760"/>
          <w:tab w:val="left" w:pos="6340"/>
          <w:tab w:val="left" w:pos="6480"/>
        </w:tabs>
        <w:suppressAutoHyphens/>
        <w:ind w:left="2160"/>
        <w:rPr>
          <w:rFonts w:cs="Arial"/>
        </w:rPr>
      </w:pPr>
    </w:p>
    <w:p w14:paraId="6FE362EC" w14:textId="77777777" w:rsidR="002B77F0" w:rsidRPr="00E125F9" w:rsidRDefault="002B77F0" w:rsidP="006C5BE0">
      <w:pPr>
        <w:pStyle w:val="ListParagraph"/>
        <w:numPr>
          <w:ilvl w:val="0"/>
          <w:numId w:val="3"/>
        </w:numPr>
        <w:tabs>
          <w:tab w:val="left" w:pos="-1440"/>
          <w:tab w:val="left" w:pos="-720"/>
          <w:tab w:val="left" w:pos="2160"/>
          <w:tab w:val="left" w:pos="2250"/>
          <w:tab w:val="left" w:pos="2880"/>
          <w:tab w:val="left" w:pos="4320"/>
          <w:tab w:val="left" w:pos="5040"/>
          <w:tab w:val="left" w:pos="5760"/>
          <w:tab w:val="left" w:pos="6340"/>
          <w:tab w:val="left" w:pos="6480"/>
        </w:tabs>
        <w:suppressAutoHyphens/>
        <w:ind w:left="2160"/>
        <w:rPr>
          <w:rFonts w:cs="Arial"/>
        </w:rPr>
      </w:pPr>
      <w:r w:rsidRPr="00B828B7">
        <w:rPr>
          <w:rFonts w:cs="Arial"/>
        </w:rPr>
        <w:t>Section 6.19(e)(ii) and (iii)</w:t>
      </w:r>
      <w:r w:rsidRPr="00E125F9">
        <w:rPr>
          <w:rFonts w:cs="Arial"/>
        </w:rPr>
        <w:t xml:space="preserve"> (Ground Lessee’s Bankruptcy).</w:t>
      </w:r>
    </w:p>
    <w:p w14:paraId="0156FBE9" w14:textId="77777777" w:rsidR="002B77F0" w:rsidRPr="00D400DC" w:rsidRDefault="002B77F0" w:rsidP="006C5BE0">
      <w:pPr>
        <w:pStyle w:val="ListParagraph"/>
        <w:ind w:left="0"/>
        <w:rPr>
          <w:rFonts w:cs="Arial"/>
        </w:rPr>
      </w:pPr>
    </w:p>
    <w:p w14:paraId="010ADD02" w14:textId="77777777" w:rsidR="002B77F0" w:rsidRPr="00E125F9" w:rsidRDefault="002B77F0" w:rsidP="006C5BE0">
      <w:pPr>
        <w:pStyle w:val="ListParagraph"/>
        <w:numPr>
          <w:ilvl w:val="0"/>
          <w:numId w:val="3"/>
        </w:numPr>
        <w:tabs>
          <w:tab w:val="left" w:pos="-1440"/>
          <w:tab w:val="left" w:pos="-720"/>
          <w:tab w:val="left" w:pos="2160"/>
          <w:tab w:val="left" w:pos="2250"/>
          <w:tab w:val="left" w:pos="2880"/>
          <w:tab w:val="left" w:pos="4320"/>
          <w:tab w:val="left" w:pos="5040"/>
          <w:tab w:val="left" w:pos="5760"/>
          <w:tab w:val="left" w:pos="6340"/>
          <w:tab w:val="left" w:pos="6480"/>
        </w:tabs>
        <w:suppressAutoHyphens/>
        <w:ind w:left="2160"/>
        <w:rPr>
          <w:rFonts w:cs="Arial"/>
        </w:rPr>
      </w:pPr>
      <w:r w:rsidRPr="00B828B7">
        <w:rPr>
          <w:rFonts w:cs="Arial"/>
        </w:rPr>
        <w:t>Section 6.19(f)(i)</w:t>
      </w:r>
      <w:r w:rsidRPr="00E125F9">
        <w:rPr>
          <w:rFonts w:cs="Arial"/>
        </w:rPr>
        <w:t xml:space="preserve"> (Ground Lessor’s Bankruptcy).</w:t>
      </w:r>
    </w:p>
    <w:p w14:paraId="18CD5485" w14:textId="77777777" w:rsidR="002B77F0" w:rsidRPr="00D400DC" w:rsidRDefault="002B77F0" w:rsidP="006C5BE0">
      <w:pPr>
        <w:pStyle w:val="ListParagraph"/>
        <w:ind w:left="0"/>
        <w:rPr>
          <w:rFonts w:cs="Arial"/>
        </w:rPr>
      </w:pPr>
    </w:p>
    <w:p w14:paraId="18303989" w14:textId="3E26B0E5" w:rsidR="002B77F0" w:rsidRPr="00E125F9" w:rsidRDefault="002B77F0" w:rsidP="006C5BE0">
      <w:pPr>
        <w:pStyle w:val="ListParagraph"/>
        <w:numPr>
          <w:ilvl w:val="0"/>
          <w:numId w:val="3"/>
        </w:numPr>
        <w:tabs>
          <w:tab w:val="left" w:pos="-1440"/>
          <w:tab w:val="left" w:pos="-720"/>
          <w:tab w:val="left" w:pos="2160"/>
          <w:tab w:val="left" w:pos="2250"/>
          <w:tab w:val="left" w:pos="2880"/>
          <w:tab w:val="left" w:pos="4320"/>
          <w:tab w:val="left" w:pos="5040"/>
          <w:tab w:val="left" w:pos="5760"/>
          <w:tab w:val="left" w:pos="6340"/>
          <w:tab w:val="left" w:pos="6480"/>
        </w:tabs>
        <w:suppressAutoHyphens/>
        <w:ind w:left="2160"/>
        <w:rPr>
          <w:rFonts w:cs="Arial"/>
        </w:rPr>
      </w:pPr>
      <w:r w:rsidRPr="00B828B7">
        <w:rPr>
          <w:rFonts w:cs="Arial"/>
        </w:rPr>
        <w:t>Section 6.19(g)</w:t>
      </w:r>
      <w:r w:rsidRPr="00E125F9">
        <w:rPr>
          <w:rFonts w:cs="Arial"/>
        </w:rPr>
        <w:t xml:space="preserve"> (Option to Renew or Extend Ground Lease).</w:t>
      </w:r>
    </w:p>
    <w:p w14:paraId="26CEDFFF" w14:textId="77777777" w:rsidR="009516C1" w:rsidRPr="00D400DC" w:rsidRDefault="009516C1" w:rsidP="00B828B7">
      <w:pPr>
        <w:pStyle w:val="ListParagraph"/>
        <w:rPr>
          <w:rFonts w:cs="Arial"/>
        </w:rPr>
      </w:pPr>
    </w:p>
    <w:p w14:paraId="0EC44FB1" w14:textId="4BFD4819" w:rsidR="009516C1" w:rsidRPr="00B8335A" w:rsidRDefault="006F167A" w:rsidP="003F1CE6">
      <w:pPr>
        <w:tabs>
          <w:tab w:val="left" w:pos="-1440"/>
          <w:tab w:val="left" w:pos="-720"/>
          <w:tab w:val="left" w:pos="720"/>
          <w:tab w:val="left" w:pos="4320"/>
          <w:tab w:val="left" w:pos="5040"/>
          <w:tab w:val="left" w:pos="5760"/>
          <w:tab w:val="left" w:pos="6340"/>
          <w:tab w:val="left" w:pos="6480"/>
        </w:tabs>
        <w:suppressAutoHyphens/>
        <w:ind w:left="720" w:hanging="720"/>
        <w:rPr>
          <w:rFonts w:cs="Arial"/>
        </w:rPr>
      </w:pPr>
      <w:r>
        <w:rPr>
          <w:rFonts w:cs="Arial"/>
        </w:rPr>
        <w:t>D</w:t>
      </w:r>
      <w:r w:rsidR="008A2AFB">
        <w:rPr>
          <w:rFonts w:cs="Arial"/>
        </w:rPr>
        <w:t>.</w:t>
      </w:r>
      <w:r w:rsidR="008A2AFB">
        <w:rPr>
          <w:rFonts w:cs="Arial"/>
        </w:rPr>
        <w:tab/>
      </w:r>
      <w:r w:rsidR="001E3320">
        <w:rPr>
          <w:rFonts w:cs="Arial"/>
        </w:rPr>
        <w:t xml:space="preserve">If </w:t>
      </w:r>
      <w:r w:rsidR="0072682D">
        <w:rPr>
          <w:rFonts w:cs="Arial"/>
          <w:color w:val="000000"/>
        </w:rPr>
        <w:t>Fee Estate Encumbered by Security Instrument</w:t>
      </w:r>
      <w:r w:rsidR="0072682D">
        <w:rPr>
          <w:rFonts w:cs="Arial"/>
        </w:rPr>
        <w:t xml:space="preserve"> </w:t>
      </w:r>
      <w:r w:rsidR="001E3320">
        <w:rPr>
          <w:rFonts w:cs="Arial"/>
        </w:rPr>
        <w:t xml:space="preserve">is selected </w:t>
      </w:r>
      <w:r w:rsidR="001E3320" w:rsidRPr="00FF7D37">
        <w:rPr>
          <w:rFonts w:cs="Arial"/>
        </w:rPr>
        <w:t xml:space="preserve">in </w:t>
      </w:r>
      <w:r w:rsidR="00D43039">
        <w:rPr>
          <w:rFonts w:cs="Arial"/>
        </w:rPr>
        <w:t xml:space="preserve">Continuing Covenant Agreement </w:t>
      </w:r>
      <w:r w:rsidR="008A2AFB">
        <w:rPr>
          <w:rFonts w:cs="Arial"/>
        </w:rPr>
        <w:t>Section 1.04</w:t>
      </w:r>
      <w:r w:rsidR="00D400DC">
        <w:rPr>
          <w:rFonts w:cs="Arial"/>
        </w:rPr>
        <w:t xml:space="preserve">, </w:t>
      </w:r>
      <w:r w:rsidR="008A2AFB">
        <w:rPr>
          <w:rFonts w:cs="Arial"/>
        </w:rPr>
        <w:t xml:space="preserve">then </w:t>
      </w:r>
      <w:r w:rsidR="009516C1" w:rsidRPr="00D43039">
        <w:rPr>
          <w:rFonts w:cs="Arial"/>
        </w:rPr>
        <w:t xml:space="preserve">Section </w:t>
      </w:r>
      <w:r w:rsidR="00D43039" w:rsidRPr="00D43039">
        <w:rPr>
          <w:rFonts w:cs="Arial"/>
        </w:rPr>
        <w:t>14(e)</w:t>
      </w:r>
      <w:r w:rsidR="001E3320" w:rsidRPr="00D43039">
        <w:rPr>
          <w:rFonts w:cs="Arial"/>
        </w:rPr>
        <w:t>(</w:t>
      </w:r>
      <w:r w:rsidR="00D43039" w:rsidRPr="00D43039">
        <w:rPr>
          <w:rFonts w:cs="Arial"/>
        </w:rPr>
        <w:t>xii</w:t>
      </w:r>
      <w:r w:rsidR="001E3320" w:rsidRPr="00E125F9">
        <w:rPr>
          <w:rFonts w:cs="Arial"/>
        </w:rPr>
        <w:t>)</w:t>
      </w:r>
      <w:r w:rsidR="009516C1" w:rsidRPr="001E3320">
        <w:rPr>
          <w:rFonts w:cs="Arial"/>
        </w:rPr>
        <w:t xml:space="preserve"> is deleted and</w:t>
      </w:r>
      <w:r w:rsidR="009516C1">
        <w:rPr>
          <w:rFonts w:cs="Arial"/>
        </w:rPr>
        <w:t xml:space="preserve"> replaced with the following: </w:t>
      </w:r>
    </w:p>
    <w:p w14:paraId="1C31FD0A" w14:textId="77777777" w:rsidR="009516C1" w:rsidRPr="00E60551" w:rsidRDefault="009516C1" w:rsidP="009516C1">
      <w:pPr>
        <w:tabs>
          <w:tab w:val="left" w:pos="-1440"/>
          <w:tab w:val="left" w:pos="-720"/>
          <w:tab w:val="left" w:pos="720"/>
          <w:tab w:val="left" w:pos="3600"/>
          <w:tab w:val="left" w:pos="4320"/>
          <w:tab w:val="left" w:pos="5040"/>
          <w:tab w:val="left" w:pos="5760"/>
          <w:tab w:val="left" w:pos="6340"/>
          <w:tab w:val="left" w:pos="6480"/>
        </w:tabs>
        <w:suppressAutoHyphens/>
        <w:rPr>
          <w:rFonts w:cs="Arial"/>
        </w:rPr>
      </w:pPr>
    </w:p>
    <w:p w14:paraId="6AEDA56D" w14:textId="7155F06A" w:rsidR="002B77F0" w:rsidRPr="00FF7D37" w:rsidRDefault="009516C1" w:rsidP="006C5BE0">
      <w:pPr>
        <w:tabs>
          <w:tab w:val="left" w:pos="-1440"/>
          <w:tab w:val="left" w:pos="-720"/>
          <w:tab w:val="left" w:pos="720"/>
          <w:tab w:val="left" w:pos="1440"/>
          <w:tab w:val="left" w:pos="3600"/>
          <w:tab w:val="left" w:pos="4320"/>
          <w:tab w:val="left" w:pos="5040"/>
          <w:tab w:val="left" w:pos="5760"/>
          <w:tab w:val="left" w:pos="6340"/>
          <w:tab w:val="left" w:pos="6480"/>
        </w:tabs>
        <w:suppressAutoHyphens/>
        <w:ind w:left="1440" w:hanging="720"/>
        <w:rPr>
          <w:rFonts w:cs="Arial"/>
        </w:rPr>
      </w:pPr>
      <w:r w:rsidRPr="00DD4682">
        <w:rPr>
          <w:rFonts w:cs="Arial"/>
        </w:rPr>
        <w:t>(</w:t>
      </w:r>
      <w:r w:rsidR="00D43039">
        <w:rPr>
          <w:rFonts w:cs="Arial"/>
        </w:rPr>
        <w:t>xii</w:t>
      </w:r>
      <w:r w:rsidRPr="00DD4682">
        <w:rPr>
          <w:rFonts w:cs="Arial"/>
        </w:rPr>
        <w:t>)</w:t>
      </w:r>
      <w:r w:rsidRPr="00DD4682">
        <w:rPr>
          <w:rFonts w:cs="Arial"/>
        </w:rPr>
        <w:tab/>
      </w:r>
      <w:r w:rsidRPr="00D400DC">
        <w:rPr>
          <w:rFonts w:cs="Arial"/>
        </w:rPr>
        <w:t xml:space="preserve">The Security </w:t>
      </w:r>
      <w:r w:rsidRPr="00E125F9">
        <w:rPr>
          <w:rFonts w:cs="Arial"/>
        </w:rPr>
        <w:t xml:space="preserve">Instrument fails to constitute a first lien mortgage upon and encumbering the Fee Estate, subject only to the matters set forth in the schedule of exceptions to coverage in the title policy issued to and accepted by </w:t>
      </w:r>
      <w:r w:rsidR="00D43039">
        <w:rPr>
          <w:rFonts w:cs="Arial"/>
        </w:rPr>
        <w:t xml:space="preserve">Funding </w:t>
      </w:r>
      <w:r w:rsidRPr="00E125F9">
        <w:rPr>
          <w:rFonts w:cs="Arial"/>
        </w:rPr>
        <w:t>Lender contemporaneously with the execut</w:t>
      </w:r>
      <w:r w:rsidRPr="00526DA4">
        <w:rPr>
          <w:rFonts w:cs="Arial"/>
        </w:rPr>
        <w:t>ion of th</w:t>
      </w:r>
      <w:r w:rsidR="0072682D">
        <w:rPr>
          <w:rFonts w:cs="Arial"/>
        </w:rPr>
        <w:t>e</w:t>
      </w:r>
      <w:r w:rsidRPr="00E125F9">
        <w:rPr>
          <w:rFonts w:cs="Arial"/>
        </w:rPr>
        <w:t xml:space="preserve"> </w:t>
      </w:r>
      <w:r w:rsidR="00D43039">
        <w:rPr>
          <w:rFonts w:cs="Arial"/>
        </w:rPr>
        <w:t xml:space="preserve">Project </w:t>
      </w:r>
      <w:r w:rsidRPr="00E125F9">
        <w:rPr>
          <w:rFonts w:cs="Arial"/>
        </w:rPr>
        <w:t>Note</w:t>
      </w:r>
      <w:r w:rsidRPr="00526DA4">
        <w:rPr>
          <w:rFonts w:cs="Arial"/>
        </w:rPr>
        <w:t xml:space="preserve"> and insuring </w:t>
      </w:r>
      <w:r w:rsidR="00D43039">
        <w:rPr>
          <w:rFonts w:cs="Arial"/>
        </w:rPr>
        <w:t xml:space="preserve">Funding </w:t>
      </w:r>
      <w:r w:rsidRPr="00526DA4">
        <w:rPr>
          <w:rFonts w:cs="Arial"/>
        </w:rPr>
        <w:t>Lender’s interest in the Mortgaged Property.</w:t>
      </w:r>
    </w:p>
    <w:p w14:paraId="27F36D73" w14:textId="77777777" w:rsidR="00987BD8" w:rsidRPr="00D50132" w:rsidRDefault="00987BD8" w:rsidP="00D50132">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sectPr w:rsidR="00987BD8" w:rsidRPr="00D50132" w:rsidSect="006903F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A584" w14:textId="77777777" w:rsidR="00B604F3" w:rsidRDefault="00B604F3" w:rsidP="00B604F3">
      <w:r>
        <w:separator/>
      </w:r>
    </w:p>
  </w:endnote>
  <w:endnote w:type="continuationSeparator" w:id="0">
    <w:p w14:paraId="40323F88" w14:textId="77777777" w:rsidR="00B604F3" w:rsidRDefault="00B604F3"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79C9" w14:textId="77777777" w:rsidR="0069361E" w:rsidRDefault="00693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2CA7" w14:textId="77777777" w:rsidR="008F2B93" w:rsidRDefault="008F2B93" w:rsidP="000A1DF9">
    <w:pPr>
      <w:pStyle w:val="Footer"/>
      <w:tabs>
        <w:tab w:val="left" w:pos="473"/>
        <w:tab w:val="right" w:pos="10080"/>
      </w:tabs>
    </w:pPr>
  </w:p>
  <w:p w14:paraId="2813F294" w14:textId="3A56F0C3" w:rsidR="000A1DF9" w:rsidRDefault="000A1DF9" w:rsidP="000A1DF9">
    <w:pPr>
      <w:pStyle w:val="Footer"/>
      <w:tabs>
        <w:tab w:val="left" w:pos="473"/>
        <w:tab w:val="right" w:pos="10080"/>
      </w:tabs>
    </w:pPr>
    <w:r>
      <w:t xml:space="preserve">Rider to </w:t>
    </w:r>
    <w:r w:rsidR="00D96C14">
      <w:t xml:space="preserve">Loan Agreement </w:t>
    </w:r>
    <w:r>
      <w:t xml:space="preserve"> </w:t>
    </w:r>
  </w:p>
  <w:p w14:paraId="036F8DAB" w14:textId="327A2E9B" w:rsidR="00E73FB7" w:rsidRDefault="00D50132" w:rsidP="003F1CE6">
    <w:pPr>
      <w:pStyle w:val="Footer"/>
      <w:tabs>
        <w:tab w:val="clear" w:pos="9360"/>
        <w:tab w:val="right" w:pos="10080"/>
      </w:tabs>
    </w:pPr>
    <w:r w:rsidRPr="00D50132">
      <w:t>Ground Lease Mortgage</w:t>
    </w:r>
    <w:r w:rsidR="00E73FB7">
      <w:tab/>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B3CD" w14:textId="089308BB" w:rsidR="006903FD" w:rsidRPr="00A31838" w:rsidRDefault="006903FD" w:rsidP="006903FD">
    <w:pPr>
      <w:pStyle w:val="Footer"/>
      <w:tabs>
        <w:tab w:val="left" w:pos="473"/>
        <w:tab w:val="right" w:pos="10080"/>
      </w:tabs>
      <w:rPr>
        <w:sz w:val="18"/>
        <w:szCs w:val="18"/>
      </w:rPr>
    </w:pPr>
    <w:r w:rsidRPr="00A31838">
      <w:rPr>
        <w:sz w:val="22"/>
        <w:szCs w:val="22"/>
      </w:rPr>
      <w:tab/>
    </w:r>
    <w:r w:rsidRPr="00A31838">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07CB" w14:textId="77777777" w:rsidR="00B604F3" w:rsidRDefault="00B604F3" w:rsidP="00B604F3">
      <w:r>
        <w:separator/>
      </w:r>
    </w:p>
  </w:footnote>
  <w:footnote w:type="continuationSeparator" w:id="0">
    <w:p w14:paraId="41CA2993" w14:textId="77777777" w:rsidR="00B604F3" w:rsidRDefault="00B604F3" w:rsidP="00B6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07EE" w14:textId="77777777" w:rsidR="0069361E" w:rsidRDefault="00693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8717" w14:textId="77777777" w:rsidR="0069361E" w:rsidRDefault="00693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45F8" w14:textId="77777777" w:rsidR="0069361E" w:rsidRDefault="00693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F8A"/>
    <w:multiLevelType w:val="hybridMultilevel"/>
    <w:tmpl w:val="8BDCF144"/>
    <w:lvl w:ilvl="0" w:tplc="054817C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664752C"/>
    <w:multiLevelType w:val="multilevel"/>
    <w:tmpl w:val="25827606"/>
    <w:lvl w:ilvl="0">
      <w:start w:val="1"/>
      <w:numFmt w:val="none"/>
      <w:pStyle w:val="Heading1"/>
      <w:suff w:val="nothing"/>
      <w:lvlText w:val=""/>
      <w:lvlJc w:val="left"/>
      <w:pPr>
        <w:ind w:left="0" w:firstLine="0"/>
      </w:pPr>
      <w:rPr>
        <w:rFonts w:ascii="Times New Roman Bold" w:hAnsi="Times New Roman Bold" w:hint="default"/>
        <w:b/>
        <w:i w:val="0"/>
        <w:sz w:val="24"/>
        <w:u w:val="none"/>
      </w:rPr>
    </w:lvl>
    <w:lvl w:ilvl="1">
      <w:start w:val="1"/>
      <w:numFmt w:val="none"/>
      <w:pStyle w:val="Heading2"/>
      <w:suff w:val="nothing"/>
      <w:lvlText w:val="%2%1"/>
      <w:lvlJc w:val="left"/>
      <w:pPr>
        <w:ind w:left="720" w:hanging="720"/>
      </w:pPr>
      <w:rPr>
        <w:rFonts w:ascii="Times New Roman Bold" w:hAnsi="Times New Roman Bold" w:hint="default"/>
        <w:b/>
        <w:i w:val="0"/>
        <w:sz w:val="24"/>
        <w:u w:val="none"/>
      </w:rPr>
    </w:lvl>
    <w:lvl w:ilvl="2">
      <w:start w:val="1"/>
      <w:numFmt w:val="none"/>
      <w:pStyle w:val="Heading3"/>
      <w:suff w:val="nothing"/>
      <w:lvlText w:val=""/>
      <w:lvlJc w:val="left"/>
      <w:pPr>
        <w:ind w:left="1440" w:hanging="720"/>
      </w:pPr>
      <w:rPr>
        <w:rFonts w:ascii="Times New Roman" w:hAnsi="Times New Roman" w:hint="default"/>
        <w:b w:val="0"/>
        <w:i w:val="0"/>
        <w:sz w:val="24"/>
        <w:u w:val="none"/>
      </w:rPr>
    </w:lvl>
    <w:lvl w:ilvl="3">
      <w:start w:val="1"/>
      <w:numFmt w:val="none"/>
      <w:pStyle w:val="Heading4"/>
      <w:suff w:val="nothing"/>
      <w:lvlText w:val=""/>
      <w:lvlJc w:val="left"/>
      <w:pPr>
        <w:ind w:left="2160" w:hanging="720"/>
      </w:pPr>
      <w:rPr>
        <w:rFonts w:ascii="Times New Roman" w:hAnsi="Times New Roman" w:hint="default"/>
        <w:b w:val="0"/>
        <w:i w:val="0"/>
        <w:sz w:val="24"/>
        <w:u w:val="none"/>
      </w:rPr>
    </w:lvl>
    <w:lvl w:ilvl="4">
      <w:start w:val="1"/>
      <w:numFmt w:val="none"/>
      <w:pStyle w:val="Heading5"/>
      <w:suff w:val="nothing"/>
      <w:lvlText w:val=""/>
      <w:lvlJc w:val="left"/>
      <w:pPr>
        <w:ind w:left="2880" w:hanging="720"/>
      </w:pPr>
      <w:rPr>
        <w:rFonts w:hint="default"/>
      </w:rPr>
    </w:lvl>
    <w:lvl w:ilvl="5">
      <w:start w:val="1"/>
      <w:numFmt w:val="none"/>
      <w:pStyle w:val="Heading6"/>
      <w:suff w:val="nothing"/>
      <w:lvlText w:val=""/>
      <w:lvlJc w:val="left"/>
      <w:pPr>
        <w:ind w:left="3600" w:hanging="720"/>
      </w:pPr>
      <w:rPr>
        <w:rFonts w:hint="default"/>
      </w:rPr>
    </w:lvl>
    <w:lvl w:ilvl="6">
      <w:start w:val="1"/>
      <w:numFmt w:val="decimal"/>
      <w:lvlText w:val="%7."/>
      <w:lvlJc w:val="left"/>
      <w:pPr>
        <w:tabs>
          <w:tab w:val="num" w:pos="1886"/>
        </w:tabs>
        <w:ind w:left="1886" w:hanging="360"/>
      </w:pPr>
      <w:rPr>
        <w:rFonts w:hint="default"/>
      </w:rPr>
    </w:lvl>
    <w:lvl w:ilvl="7">
      <w:start w:val="1"/>
      <w:numFmt w:val="lowerLetter"/>
      <w:lvlText w:val="%8."/>
      <w:lvlJc w:val="left"/>
      <w:pPr>
        <w:tabs>
          <w:tab w:val="num" w:pos="2246"/>
        </w:tabs>
        <w:ind w:left="2246" w:hanging="360"/>
      </w:pPr>
      <w:rPr>
        <w:rFonts w:hint="default"/>
      </w:rPr>
    </w:lvl>
    <w:lvl w:ilvl="8">
      <w:start w:val="1"/>
      <w:numFmt w:val="lowerRoman"/>
      <w:lvlText w:val="%9."/>
      <w:lvlJc w:val="left"/>
      <w:pPr>
        <w:tabs>
          <w:tab w:val="num" w:pos="2606"/>
        </w:tabs>
        <w:ind w:left="2606" w:hanging="360"/>
      </w:pPr>
      <w:rPr>
        <w:rFonts w:hint="default"/>
      </w:rPr>
    </w:lvl>
  </w:abstractNum>
  <w:abstractNum w:abstractNumId="2"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1994525">
    <w:abstractNumId w:val="2"/>
  </w:num>
  <w:num w:numId="2" w16cid:durableId="437524307">
    <w:abstractNumId w:val="1"/>
  </w:num>
  <w:num w:numId="3" w16cid:durableId="2055616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0324D"/>
    <w:rsid w:val="00021DB3"/>
    <w:rsid w:val="00036423"/>
    <w:rsid w:val="00046E58"/>
    <w:rsid w:val="00051B73"/>
    <w:rsid w:val="00081A40"/>
    <w:rsid w:val="000A1DF9"/>
    <w:rsid w:val="000E5263"/>
    <w:rsid w:val="00126BAF"/>
    <w:rsid w:val="001E3320"/>
    <w:rsid w:val="001F33C9"/>
    <w:rsid w:val="00252EBC"/>
    <w:rsid w:val="002604E5"/>
    <w:rsid w:val="00270F1A"/>
    <w:rsid w:val="002B77F0"/>
    <w:rsid w:val="002C21E5"/>
    <w:rsid w:val="002E1EAD"/>
    <w:rsid w:val="00317BBE"/>
    <w:rsid w:val="003E2DB2"/>
    <w:rsid w:val="003F1CE6"/>
    <w:rsid w:val="003F3BCC"/>
    <w:rsid w:val="00466383"/>
    <w:rsid w:val="004669A2"/>
    <w:rsid w:val="00477ACE"/>
    <w:rsid w:val="00503605"/>
    <w:rsid w:val="00526DA4"/>
    <w:rsid w:val="00560E9F"/>
    <w:rsid w:val="00576544"/>
    <w:rsid w:val="005F7525"/>
    <w:rsid w:val="00625D4B"/>
    <w:rsid w:val="00641F21"/>
    <w:rsid w:val="006903FD"/>
    <w:rsid w:val="00691361"/>
    <w:rsid w:val="0069361E"/>
    <w:rsid w:val="006A1F77"/>
    <w:rsid w:val="006B012A"/>
    <w:rsid w:val="006B3593"/>
    <w:rsid w:val="006B7BF6"/>
    <w:rsid w:val="006C5BE0"/>
    <w:rsid w:val="006F167A"/>
    <w:rsid w:val="0072682D"/>
    <w:rsid w:val="007B721D"/>
    <w:rsid w:val="007C2810"/>
    <w:rsid w:val="00806791"/>
    <w:rsid w:val="0084282E"/>
    <w:rsid w:val="00855120"/>
    <w:rsid w:val="00857155"/>
    <w:rsid w:val="008A2AFB"/>
    <w:rsid w:val="008A5FA2"/>
    <w:rsid w:val="008F2B93"/>
    <w:rsid w:val="009516C1"/>
    <w:rsid w:val="009751F7"/>
    <w:rsid w:val="00987BD8"/>
    <w:rsid w:val="009A48AB"/>
    <w:rsid w:val="009E3A89"/>
    <w:rsid w:val="009E6285"/>
    <w:rsid w:val="00A31838"/>
    <w:rsid w:val="00A4133D"/>
    <w:rsid w:val="00A51C85"/>
    <w:rsid w:val="00A90CE3"/>
    <w:rsid w:val="00AA6FE7"/>
    <w:rsid w:val="00AF041C"/>
    <w:rsid w:val="00B416C3"/>
    <w:rsid w:val="00B56346"/>
    <w:rsid w:val="00B604F3"/>
    <w:rsid w:val="00B828B7"/>
    <w:rsid w:val="00B92CB3"/>
    <w:rsid w:val="00BB74C2"/>
    <w:rsid w:val="00C008B4"/>
    <w:rsid w:val="00C7211B"/>
    <w:rsid w:val="00C82AD0"/>
    <w:rsid w:val="00CA22B1"/>
    <w:rsid w:val="00CB1DBB"/>
    <w:rsid w:val="00CF03FF"/>
    <w:rsid w:val="00D3365D"/>
    <w:rsid w:val="00D400DC"/>
    <w:rsid w:val="00D417BC"/>
    <w:rsid w:val="00D43039"/>
    <w:rsid w:val="00D50132"/>
    <w:rsid w:val="00D72C8E"/>
    <w:rsid w:val="00D92550"/>
    <w:rsid w:val="00D96C14"/>
    <w:rsid w:val="00DF6296"/>
    <w:rsid w:val="00E125F9"/>
    <w:rsid w:val="00E3413B"/>
    <w:rsid w:val="00E54C88"/>
    <w:rsid w:val="00E60551"/>
    <w:rsid w:val="00E73FB7"/>
    <w:rsid w:val="00EA0CF0"/>
    <w:rsid w:val="00EF2A33"/>
    <w:rsid w:val="00F46773"/>
    <w:rsid w:val="00FC0A65"/>
    <w:rsid w:val="00FD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paragraph" w:styleId="Heading1">
    <w:name w:val="heading 1"/>
    <w:basedOn w:val="Normal"/>
    <w:next w:val="Heading2"/>
    <w:link w:val="Heading1Char"/>
    <w:qFormat/>
    <w:rsid w:val="00D50132"/>
    <w:pPr>
      <w:keepNext/>
      <w:numPr>
        <w:numId w:val="2"/>
      </w:numPr>
      <w:spacing w:after="240"/>
      <w:outlineLvl w:val="0"/>
    </w:pPr>
    <w:rPr>
      <w:rFonts w:ascii="Times New Roman Bold" w:hAnsi="Times New Roman Bold" w:cs="Arial"/>
      <w:b/>
      <w:bCs/>
      <w:caps/>
      <w:sz w:val="24"/>
      <w:szCs w:val="32"/>
    </w:rPr>
  </w:style>
  <w:style w:type="paragraph" w:styleId="Heading2">
    <w:name w:val="heading 2"/>
    <w:basedOn w:val="Normal"/>
    <w:link w:val="Heading2Char"/>
    <w:qFormat/>
    <w:rsid w:val="00D50132"/>
    <w:pPr>
      <w:numPr>
        <w:ilvl w:val="1"/>
        <w:numId w:val="2"/>
      </w:numPr>
      <w:spacing w:after="240"/>
      <w:outlineLvl w:val="1"/>
    </w:pPr>
    <w:rPr>
      <w:rFonts w:ascii="Times New Roman" w:hAnsi="Times New Roman" w:cs="Arial"/>
      <w:bCs/>
      <w:iCs/>
      <w:sz w:val="24"/>
      <w:szCs w:val="28"/>
    </w:rPr>
  </w:style>
  <w:style w:type="paragraph" w:styleId="Heading3">
    <w:name w:val="heading 3"/>
    <w:basedOn w:val="Normal"/>
    <w:link w:val="Heading3Char"/>
    <w:qFormat/>
    <w:rsid w:val="00D50132"/>
    <w:pPr>
      <w:numPr>
        <w:ilvl w:val="2"/>
        <w:numId w:val="2"/>
      </w:numPr>
      <w:spacing w:after="240"/>
      <w:outlineLvl w:val="2"/>
    </w:pPr>
    <w:rPr>
      <w:rFonts w:ascii="Times New Roman" w:hAnsi="Times New Roman" w:cs="Arial"/>
      <w:bCs/>
      <w:sz w:val="24"/>
      <w:szCs w:val="26"/>
    </w:rPr>
  </w:style>
  <w:style w:type="paragraph" w:styleId="Heading4">
    <w:name w:val="heading 4"/>
    <w:basedOn w:val="Normal"/>
    <w:link w:val="Heading4Char"/>
    <w:qFormat/>
    <w:rsid w:val="00D50132"/>
    <w:pPr>
      <w:numPr>
        <w:ilvl w:val="3"/>
        <w:numId w:val="2"/>
      </w:numPr>
      <w:spacing w:after="240"/>
      <w:outlineLvl w:val="3"/>
    </w:pPr>
    <w:rPr>
      <w:rFonts w:ascii="Times New Roman" w:hAnsi="Times New Roman"/>
      <w:bCs/>
      <w:sz w:val="24"/>
      <w:szCs w:val="28"/>
    </w:rPr>
  </w:style>
  <w:style w:type="paragraph" w:styleId="Heading5">
    <w:name w:val="heading 5"/>
    <w:basedOn w:val="Normal"/>
    <w:next w:val="Normal"/>
    <w:link w:val="Heading5Char"/>
    <w:qFormat/>
    <w:rsid w:val="00D50132"/>
    <w:pPr>
      <w:numPr>
        <w:ilvl w:val="4"/>
        <w:numId w:val="2"/>
      </w:numPr>
      <w:spacing w:after="240"/>
      <w:outlineLvl w:val="4"/>
    </w:pPr>
    <w:rPr>
      <w:rFonts w:ascii="Times New Roman" w:hAnsi="Times New Roman"/>
      <w:bCs/>
      <w:iCs/>
      <w:sz w:val="24"/>
      <w:szCs w:val="26"/>
    </w:rPr>
  </w:style>
  <w:style w:type="paragraph" w:styleId="Heading6">
    <w:name w:val="heading 6"/>
    <w:basedOn w:val="Normal"/>
    <w:next w:val="Normal"/>
    <w:link w:val="Heading6Char"/>
    <w:qFormat/>
    <w:rsid w:val="00D50132"/>
    <w:pPr>
      <w:numPr>
        <w:ilvl w:val="5"/>
        <w:numId w:val="2"/>
      </w:numPr>
      <w:spacing w:after="240"/>
      <w:outlineLvl w:val="5"/>
    </w:pPr>
    <w:rPr>
      <w:rFonts w:ascii="Times New Roman" w:hAnsi="Times New Roman"/>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character" w:customStyle="1" w:styleId="Heading1Char">
    <w:name w:val="Heading 1 Char"/>
    <w:basedOn w:val="DefaultParagraphFont"/>
    <w:link w:val="Heading1"/>
    <w:rsid w:val="00D50132"/>
    <w:rPr>
      <w:rFonts w:ascii="Times New Roman Bold" w:eastAsia="Times New Roman" w:hAnsi="Times New Roman Bold"/>
      <w:b/>
      <w:bCs/>
      <w:caps/>
      <w:color w:val="auto"/>
      <w:sz w:val="24"/>
      <w:szCs w:val="32"/>
    </w:rPr>
  </w:style>
  <w:style w:type="character" w:customStyle="1" w:styleId="Heading2Char">
    <w:name w:val="Heading 2 Char"/>
    <w:basedOn w:val="DefaultParagraphFont"/>
    <w:link w:val="Heading2"/>
    <w:rsid w:val="00D50132"/>
    <w:rPr>
      <w:rFonts w:ascii="Times New Roman" w:eastAsia="Times New Roman" w:hAnsi="Times New Roman"/>
      <w:bCs/>
      <w:iCs/>
      <w:color w:val="auto"/>
      <w:sz w:val="24"/>
      <w:szCs w:val="28"/>
    </w:rPr>
  </w:style>
  <w:style w:type="character" w:customStyle="1" w:styleId="Heading3Char">
    <w:name w:val="Heading 3 Char"/>
    <w:basedOn w:val="DefaultParagraphFont"/>
    <w:link w:val="Heading3"/>
    <w:rsid w:val="00D50132"/>
    <w:rPr>
      <w:rFonts w:ascii="Times New Roman" w:eastAsia="Times New Roman" w:hAnsi="Times New Roman"/>
      <w:bCs/>
      <w:color w:val="auto"/>
      <w:sz w:val="24"/>
      <w:szCs w:val="26"/>
    </w:rPr>
  </w:style>
  <w:style w:type="character" w:customStyle="1" w:styleId="Heading4Char">
    <w:name w:val="Heading 4 Char"/>
    <w:basedOn w:val="DefaultParagraphFont"/>
    <w:link w:val="Heading4"/>
    <w:rsid w:val="00D50132"/>
    <w:rPr>
      <w:rFonts w:ascii="Times New Roman" w:eastAsia="Times New Roman" w:hAnsi="Times New Roman" w:cs="Times New Roman"/>
      <w:bCs/>
      <w:color w:val="auto"/>
      <w:sz w:val="24"/>
      <w:szCs w:val="28"/>
    </w:rPr>
  </w:style>
  <w:style w:type="character" w:customStyle="1" w:styleId="Heading5Char">
    <w:name w:val="Heading 5 Char"/>
    <w:basedOn w:val="DefaultParagraphFont"/>
    <w:link w:val="Heading5"/>
    <w:rsid w:val="00D50132"/>
    <w:rPr>
      <w:rFonts w:ascii="Times New Roman" w:eastAsia="Times New Roman" w:hAnsi="Times New Roman" w:cs="Times New Roman"/>
      <w:bCs/>
      <w:iCs/>
      <w:color w:val="auto"/>
      <w:sz w:val="24"/>
      <w:szCs w:val="26"/>
    </w:rPr>
  </w:style>
  <w:style w:type="character" w:customStyle="1" w:styleId="Heading6Char">
    <w:name w:val="Heading 6 Char"/>
    <w:basedOn w:val="DefaultParagraphFont"/>
    <w:link w:val="Heading6"/>
    <w:rsid w:val="00D50132"/>
    <w:rPr>
      <w:rFonts w:ascii="Times New Roman" w:eastAsia="Times New Roman" w:hAnsi="Times New Roman" w:cs="Times New Roman"/>
      <w:bCs/>
      <w:color w:val="auto"/>
      <w:sz w:val="24"/>
    </w:rPr>
  </w:style>
  <w:style w:type="paragraph" w:customStyle="1" w:styleId="NormalHangingIndent1">
    <w:name w:val="Normal (Hanging Indent 1)"/>
    <w:basedOn w:val="Normal"/>
    <w:next w:val="Normal"/>
    <w:rsid w:val="00D50132"/>
    <w:pPr>
      <w:spacing w:after="240"/>
      <w:ind w:left="720" w:hanging="720"/>
      <w:jc w:val="both"/>
    </w:pPr>
    <w:rPr>
      <w:rFonts w:ascii="Times New Roman" w:hAnsi="Times New Roman"/>
      <w:sz w:val="24"/>
      <w:szCs w:val="24"/>
    </w:rPr>
  </w:style>
  <w:style w:type="paragraph" w:customStyle="1" w:styleId="NormalHangingIndent2">
    <w:name w:val="Normal (Hanging Indent 2)"/>
    <w:basedOn w:val="Normal"/>
    <w:next w:val="Normal"/>
    <w:rsid w:val="00D50132"/>
    <w:pPr>
      <w:spacing w:after="240"/>
      <w:ind w:left="1440" w:hanging="720"/>
      <w:jc w:val="both"/>
    </w:pPr>
    <w:rPr>
      <w:rFonts w:ascii="Times New Roman" w:hAnsi="Times New Roman"/>
      <w:sz w:val="24"/>
      <w:szCs w:val="24"/>
    </w:rPr>
  </w:style>
  <w:style w:type="paragraph" w:customStyle="1" w:styleId="NormalHangingIndent3">
    <w:name w:val="Normal (Hanging Indent 3)"/>
    <w:basedOn w:val="Normal"/>
    <w:next w:val="Normal"/>
    <w:rsid w:val="00D50132"/>
    <w:pPr>
      <w:spacing w:after="240"/>
      <w:ind w:left="2160" w:hanging="720"/>
      <w:jc w:val="both"/>
    </w:pPr>
    <w:rPr>
      <w:rFonts w:ascii="Times New Roman" w:hAnsi="Times New Roman"/>
      <w:sz w:val="24"/>
      <w:szCs w:val="24"/>
    </w:rPr>
  </w:style>
  <w:style w:type="paragraph" w:customStyle="1" w:styleId="NormalHangingIndent4">
    <w:name w:val="Normal (Hanging Indent 4)"/>
    <w:basedOn w:val="Normal"/>
    <w:next w:val="Normal"/>
    <w:rsid w:val="00D50132"/>
    <w:pPr>
      <w:spacing w:after="240"/>
      <w:ind w:left="2880" w:hanging="720"/>
      <w:jc w:val="both"/>
    </w:pPr>
    <w:rPr>
      <w:rFonts w:ascii="Times New Roman" w:hAnsi="Times New Roman"/>
      <w:sz w:val="24"/>
      <w:szCs w:val="24"/>
    </w:rPr>
  </w:style>
  <w:style w:type="paragraph" w:customStyle="1" w:styleId="CoverPageLoanNumberandName">
    <w:name w:val="Cover Page (Loan Number and Name)"/>
    <w:basedOn w:val="Normal"/>
    <w:rsid w:val="00D50132"/>
    <w:pPr>
      <w:spacing w:after="240"/>
      <w:jc w:val="both"/>
    </w:pPr>
    <w:rPr>
      <w:rFonts w:ascii="Times New Roman" w:hAnsi="Times New Roman"/>
      <w:sz w:val="24"/>
      <w:szCs w:val="24"/>
    </w:rPr>
  </w:style>
  <w:style w:type="paragraph" w:styleId="BodyTextIndent2">
    <w:name w:val="Body Text Indent 2"/>
    <w:basedOn w:val="Normal"/>
    <w:link w:val="BodyTextIndent2Char"/>
    <w:uiPriority w:val="99"/>
    <w:unhideWhenUsed/>
    <w:rsid w:val="00987BD8"/>
    <w:pPr>
      <w:spacing w:after="120" w:line="480" w:lineRule="auto"/>
      <w:ind w:left="360"/>
    </w:pPr>
  </w:style>
  <w:style w:type="character" w:customStyle="1" w:styleId="BodyTextIndent2Char">
    <w:name w:val="Body Text Indent 2 Char"/>
    <w:basedOn w:val="DefaultParagraphFont"/>
    <w:link w:val="BodyTextIndent2"/>
    <w:uiPriority w:val="99"/>
    <w:rsid w:val="00987BD8"/>
    <w:rPr>
      <w:rFonts w:eastAsia="Times New Roman" w:cs="Times New Roman"/>
      <w:color w:val="auto"/>
      <w:szCs w:val="20"/>
    </w:rPr>
  </w:style>
  <w:style w:type="character" w:styleId="CommentReference">
    <w:name w:val="annotation reference"/>
    <w:uiPriority w:val="99"/>
    <w:unhideWhenUsed/>
    <w:rsid w:val="009751F7"/>
    <w:rPr>
      <w:sz w:val="16"/>
      <w:szCs w:val="16"/>
    </w:rPr>
  </w:style>
  <w:style w:type="paragraph" w:styleId="CommentText">
    <w:name w:val="annotation text"/>
    <w:basedOn w:val="Normal"/>
    <w:link w:val="CommentTextChar"/>
    <w:uiPriority w:val="99"/>
    <w:unhideWhenUsed/>
    <w:rsid w:val="009751F7"/>
    <w:pPr>
      <w:spacing w:after="240"/>
      <w:jc w:val="both"/>
    </w:pPr>
    <w:rPr>
      <w:rFonts w:ascii="Times New Roman" w:hAnsi="Times New Roman"/>
    </w:rPr>
  </w:style>
  <w:style w:type="character" w:customStyle="1" w:styleId="CommentTextChar">
    <w:name w:val="Comment Text Char"/>
    <w:basedOn w:val="DefaultParagraphFont"/>
    <w:link w:val="CommentText"/>
    <w:uiPriority w:val="99"/>
    <w:rsid w:val="009751F7"/>
    <w:rPr>
      <w:rFonts w:ascii="Times New Roman" w:eastAsia="Times New Roman" w:hAnsi="Times New Roman" w:cs="Times New Roman"/>
      <w:color w:val="auto"/>
      <w:szCs w:val="20"/>
    </w:rPr>
  </w:style>
  <w:style w:type="paragraph" w:styleId="CommentSubject">
    <w:name w:val="annotation subject"/>
    <w:basedOn w:val="CommentText"/>
    <w:next w:val="CommentText"/>
    <w:link w:val="CommentSubjectChar"/>
    <w:uiPriority w:val="99"/>
    <w:semiHidden/>
    <w:unhideWhenUsed/>
    <w:rsid w:val="00D43039"/>
    <w:pPr>
      <w:spacing w:after="0"/>
      <w:jc w:val="left"/>
    </w:pPr>
    <w:rPr>
      <w:rFonts w:ascii="Arial" w:hAnsi="Arial"/>
      <w:b/>
      <w:bCs/>
    </w:rPr>
  </w:style>
  <w:style w:type="character" w:customStyle="1" w:styleId="CommentSubjectChar">
    <w:name w:val="Comment Subject Char"/>
    <w:basedOn w:val="CommentTextChar"/>
    <w:link w:val="CommentSubject"/>
    <w:uiPriority w:val="99"/>
    <w:semiHidden/>
    <w:rsid w:val="00D43039"/>
    <w:rPr>
      <w:rFonts w:ascii="Times New Roman" w:eastAsia="Times New Roman" w:hAnsi="Times New Roman" w:cs="Times New Roman"/>
      <w:b/>
      <w:bCs/>
      <w:color w:val="auto"/>
      <w:szCs w:val="20"/>
    </w:rPr>
  </w:style>
  <w:style w:type="paragraph" w:styleId="Revision">
    <w:name w:val="Revision"/>
    <w:hidden/>
    <w:uiPriority w:val="99"/>
    <w:semiHidden/>
    <w:rsid w:val="006F167A"/>
    <w:pPr>
      <w:spacing w:after="0" w:line="240" w:lineRule="auto"/>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614">
      <w:bodyDiv w:val="1"/>
      <w:marLeft w:val="0"/>
      <w:marRight w:val="0"/>
      <w:marTop w:val="0"/>
      <w:marBottom w:val="0"/>
      <w:divBdr>
        <w:top w:val="none" w:sz="0" w:space="0" w:color="auto"/>
        <w:left w:val="none" w:sz="0" w:space="0" w:color="auto"/>
        <w:bottom w:val="none" w:sz="0" w:space="0" w:color="auto"/>
        <w:right w:val="none" w:sz="0" w:space="0" w:color="auto"/>
      </w:divBdr>
    </w:div>
    <w:div w:id="1013144544">
      <w:bodyDiv w:val="1"/>
      <w:marLeft w:val="0"/>
      <w:marRight w:val="0"/>
      <w:marTop w:val="0"/>
      <w:marBottom w:val="0"/>
      <w:divBdr>
        <w:top w:val="none" w:sz="0" w:space="0" w:color="auto"/>
        <w:left w:val="none" w:sz="0" w:space="0" w:color="auto"/>
        <w:bottom w:val="none" w:sz="0" w:space="0" w:color="auto"/>
        <w:right w:val="none" w:sz="0" w:space="0" w:color="auto"/>
      </w:divBdr>
    </w:div>
    <w:div w:id="17491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2023-05-10T17:35:00Z</dcterms:created>
  <dcterms:modified xsi:type="dcterms:W3CDTF">2023-05-10T17:37:00Z</dcterms:modified>
</cp:coreProperties>
</file>