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B8F5" w14:textId="32B0B9EE" w:rsidR="00973402" w:rsidRDefault="00973402" w:rsidP="00973402">
      <w:pPr>
        <w:jc w:val="center"/>
        <w:rPr>
          <w:rFonts w:cs="Arial"/>
          <w:b/>
          <w:sz w:val="24"/>
          <w:szCs w:val="24"/>
        </w:rPr>
      </w:pPr>
      <w:r>
        <w:rPr>
          <w:rFonts w:cs="Arial"/>
          <w:b/>
          <w:sz w:val="24"/>
          <w:szCs w:val="24"/>
        </w:rPr>
        <w:t>Rider to Continuing Covenant Agreement</w:t>
      </w:r>
      <w:r w:rsidR="00303DD4">
        <w:rPr>
          <w:rFonts w:cs="Arial"/>
          <w:b/>
          <w:sz w:val="24"/>
          <w:szCs w:val="24"/>
        </w:rPr>
        <w:t xml:space="preserve"> – TEL</w:t>
      </w:r>
    </w:p>
    <w:p w14:paraId="17FCD532" w14:textId="2D663161" w:rsidR="000576E5" w:rsidRPr="0048587B" w:rsidRDefault="000576E5" w:rsidP="0048587B">
      <w:pPr>
        <w:pStyle w:val="CoverPageLoanNumberandName"/>
        <w:spacing w:after="0"/>
        <w:jc w:val="center"/>
        <w:rPr>
          <w:rFonts w:ascii="Arial" w:hAnsi="Arial" w:cs="Arial"/>
          <w:b/>
        </w:rPr>
      </w:pPr>
      <w:r w:rsidRPr="0048587B">
        <w:rPr>
          <w:rFonts w:ascii="Arial" w:hAnsi="Arial" w:cs="Arial"/>
          <w:b/>
        </w:rPr>
        <w:t>Foreign Guarantor</w:t>
      </w:r>
    </w:p>
    <w:p w14:paraId="23CF6A80" w14:textId="6D8C71E3" w:rsidR="00973402" w:rsidRDefault="00973402" w:rsidP="00973402">
      <w:pPr>
        <w:shd w:val="clear" w:color="auto" w:fill="FFFFFF"/>
        <w:tabs>
          <w:tab w:val="left" w:pos="360"/>
          <w:tab w:val="left" w:pos="720"/>
          <w:tab w:val="left" w:pos="1080"/>
          <w:tab w:val="left" w:pos="1440"/>
        </w:tabs>
        <w:jc w:val="center"/>
        <w:rPr>
          <w:rFonts w:cs="Arial"/>
          <w:bCs/>
        </w:rPr>
      </w:pPr>
      <w:r>
        <w:rPr>
          <w:rFonts w:cs="Arial"/>
          <w:bCs/>
        </w:rPr>
        <w:t xml:space="preserve">(Revised </w:t>
      </w:r>
      <w:r w:rsidR="009F6970">
        <w:rPr>
          <w:rFonts w:cs="Arial"/>
          <w:bCs/>
        </w:rPr>
        <w:t>3</w:t>
      </w:r>
      <w:r w:rsidR="00A80EF3">
        <w:rPr>
          <w:rFonts w:cs="Arial"/>
          <w:bCs/>
        </w:rPr>
        <w:t>-</w:t>
      </w:r>
      <w:r w:rsidR="009F6970">
        <w:rPr>
          <w:rFonts w:cs="Arial"/>
          <w:bCs/>
        </w:rPr>
        <w:t>2</w:t>
      </w:r>
      <w:r w:rsidR="007577D6">
        <w:rPr>
          <w:rFonts w:cs="Arial"/>
          <w:bCs/>
        </w:rPr>
        <w:t>6</w:t>
      </w:r>
      <w:r>
        <w:rPr>
          <w:rFonts w:cs="Arial"/>
          <w:bCs/>
        </w:rPr>
        <w:t>-202</w:t>
      </w:r>
      <w:r w:rsidR="003F5E9A">
        <w:rPr>
          <w:rFonts w:cs="Arial"/>
          <w:bCs/>
        </w:rPr>
        <w:t>4</w:t>
      </w:r>
      <w:r>
        <w:rPr>
          <w:rFonts w:cs="Arial"/>
          <w:bCs/>
        </w:rPr>
        <w:t>)</w:t>
      </w:r>
    </w:p>
    <w:p w14:paraId="5CC17583" w14:textId="77777777" w:rsidR="000576E5" w:rsidRPr="00380484" w:rsidRDefault="000576E5" w:rsidP="000576E5">
      <w:pPr>
        <w:shd w:val="clear" w:color="auto" w:fill="FFFFFF"/>
        <w:tabs>
          <w:tab w:val="left" w:pos="360"/>
          <w:tab w:val="left" w:pos="720"/>
          <w:tab w:val="left" w:pos="1080"/>
          <w:tab w:val="left" w:pos="1440"/>
        </w:tabs>
        <w:jc w:val="center"/>
        <w:rPr>
          <w:rFonts w:cs="Arial"/>
          <w:b/>
          <w:sz w:val="24"/>
          <w:szCs w:val="24"/>
        </w:rPr>
      </w:pPr>
    </w:p>
    <w:p w14:paraId="04C613E3" w14:textId="77777777" w:rsidR="000576E5" w:rsidRPr="00380484" w:rsidRDefault="000576E5" w:rsidP="000576E5">
      <w:pPr>
        <w:shd w:val="clear" w:color="auto" w:fill="FFFFFF"/>
        <w:tabs>
          <w:tab w:val="left" w:pos="360"/>
          <w:tab w:val="left" w:pos="720"/>
          <w:tab w:val="left" w:pos="1080"/>
          <w:tab w:val="left" w:pos="1440"/>
        </w:tabs>
        <w:rPr>
          <w:rFonts w:cs="Arial"/>
          <w:b/>
        </w:rPr>
      </w:pPr>
    </w:p>
    <w:p w14:paraId="231D9FA1" w14:textId="77777777" w:rsidR="00973402" w:rsidRDefault="00973402" w:rsidP="00973402">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Pr>
          <w:rFonts w:cs="Arial"/>
        </w:rPr>
        <w:t>The following changes are made to the Continuing Covenant Agreement that precedes this Rider:</w:t>
      </w:r>
    </w:p>
    <w:p w14:paraId="5CB84DB6" w14:textId="77777777" w:rsidR="00650F0F" w:rsidRPr="00650F0F" w:rsidRDefault="00650F0F" w:rsidP="00650F0F">
      <w:pPr>
        <w:ind w:left="720" w:hanging="720"/>
        <w:rPr>
          <w:rFonts w:cs="Arial"/>
        </w:rPr>
      </w:pPr>
    </w:p>
    <w:p w14:paraId="3E2E5DB4" w14:textId="2BA379BB" w:rsidR="00650F0F" w:rsidRDefault="00650F0F">
      <w:pPr>
        <w:ind w:left="720" w:hanging="720"/>
        <w:rPr>
          <w:rFonts w:cs="Arial"/>
        </w:rPr>
      </w:pPr>
      <w:r w:rsidRPr="00650F0F">
        <w:rPr>
          <w:rFonts w:cs="Arial"/>
        </w:rPr>
        <w:t>A.</w:t>
      </w:r>
      <w:r w:rsidRPr="00650F0F">
        <w:rPr>
          <w:rFonts w:cs="Arial"/>
        </w:rPr>
        <w:tab/>
        <w:t xml:space="preserve">The following table is added to </w:t>
      </w:r>
      <w:r w:rsidR="0062769B">
        <w:rPr>
          <w:rFonts w:cs="Arial"/>
        </w:rPr>
        <w:t>Section 1.05</w:t>
      </w:r>
      <w:r w:rsidRPr="00650F0F">
        <w:rPr>
          <w:rFonts w:cs="Arial"/>
        </w:rPr>
        <w:t>:</w:t>
      </w:r>
    </w:p>
    <w:p w14:paraId="54A94E95" w14:textId="77777777" w:rsidR="00650F0F" w:rsidRPr="00830FC1" w:rsidRDefault="00650F0F" w:rsidP="00650F0F">
      <w:pPr>
        <w:rPr>
          <w:rFonts w:cs="Arial"/>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46"/>
        <w:gridCol w:w="7956"/>
      </w:tblGrid>
      <w:tr w:rsidR="00650F0F" w:rsidRPr="00830FC1" w14:paraId="5853FC77" w14:textId="77777777" w:rsidTr="00A80EF3">
        <w:tc>
          <w:tcPr>
            <w:tcW w:w="9900" w:type="dxa"/>
            <w:gridSpan w:val="3"/>
            <w:shd w:val="clear" w:color="auto" w:fill="DBDBDB" w:themeFill="accent3" w:themeFillTint="66"/>
            <w:vAlign w:val="center"/>
          </w:tcPr>
          <w:p w14:paraId="7E387E58" w14:textId="4D8CF415" w:rsidR="00650F0F" w:rsidRPr="00830FC1" w:rsidRDefault="00650F0F" w:rsidP="0048587B">
            <w:pPr>
              <w:spacing w:before="40" w:after="40"/>
              <w:rPr>
                <w:rFonts w:cs="Arial"/>
              </w:rPr>
            </w:pPr>
            <w:r>
              <w:rPr>
                <w:rFonts w:cs="Arial"/>
                <w:b/>
              </w:rPr>
              <w:t>Foreign Guarantor</w:t>
            </w:r>
          </w:p>
        </w:tc>
      </w:tr>
      <w:tr w:rsidR="0062769B" w:rsidRPr="00830FC1" w14:paraId="2FE6786A" w14:textId="77777777" w:rsidTr="00A80EF3">
        <w:trPr>
          <w:trHeight w:val="377"/>
        </w:trPr>
        <w:tc>
          <w:tcPr>
            <w:tcW w:w="9900" w:type="dxa"/>
            <w:gridSpan w:val="3"/>
            <w:shd w:val="clear" w:color="auto" w:fill="auto"/>
          </w:tcPr>
          <w:p w14:paraId="6B442258" w14:textId="31FE042E" w:rsidR="0062769B" w:rsidRDefault="0062769B" w:rsidP="0048587B">
            <w:pPr>
              <w:pStyle w:val="ListParagraph"/>
              <w:spacing w:before="40" w:after="40"/>
              <w:ind w:left="0"/>
              <w:contextualSpacing w:val="0"/>
              <w:rPr>
                <w:rFonts w:cs="Arial"/>
              </w:rPr>
            </w:pPr>
            <w:r>
              <w:rPr>
                <w:rFonts w:cs="Arial"/>
                <w:color w:val="000000"/>
              </w:rPr>
              <w:t xml:space="preserve">Minimum U.S. Deposit </w:t>
            </w:r>
          </w:p>
        </w:tc>
      </w:tr>
      <w:tr w:rsidR="0062769B" w:rsidRPr="00830FC1" w14:paraId="386AFA5B" w14:textId="77777777" w:rsidTr="00A80EF3">
        <w:trPr>
          <w:trHeight w:val="377"/>
        </w:trPr>
        <w:tc>
          <w:tcPr>
            <w:tcW w:w="498" w:type="dxa"/>
            <w:shd w:val="clear" w:color="auto" w:fill="auto"/>
          </w:tcPr>
          <w:p w14:paraId="3E3E1CBE" w14:textId="36F7968E" w:rsidR="0062769B" w:rsidRDefault="0008704B" w:rsidP="0048587B">
            <w:pPr>
              <w:pStyle w:val="ListParagraph"/>
              <w:ind w:left="0"/>
              <w:contextualSpacing w:val="0"/>
              <w:jc w:val="center"/>
              <w:rPr>
                <w:rFonts w:ascii="Segoe UI" w:eastAsia="MS Gothic" w:hAnsi="Segoe UI" w:cs="Segoe UI"/>
                <w:bCs/>
                <w:sz w:val="28"/>
                <w:szCs w:val="28"/>
              </w:rPr>
            </w:pPr>
            <w:sdt>
              <w:sdtPr>
                <w:rPr>
                  <w:rFonts w:ascii="Segoe UI" w:eastAsia="MS Gothic" w:hAnsi="Segoe UI" w:cs="Segoe UI"/>
                  <w:bCs/>
                  <w:sz w:val="28"/>
                  <w:szCs w:val="28"/>
                </w:rPr>
                <w:id w:val="1515103796"/>
                <w14:checkbox>
                  <w14:checked w14:val="0"/>
                  <w14:checkedState w14:val="2612" w14:font="MS Gothic"/>
                  <w14:uncheckedState w14:val="2610" w14:font="MS Gothic"/>
                </w14:checkbox>
              </w:sdtPr>
              <w:sdtEndPr/>
              <w:sdtContent>
                <w:r w:rsidR="0062769B" w:rsidRPr="00721AFA">
                  <w:rPr>
                    <w:rFonts w:ascii="Segoe UI Symbol" w:eastAsia="MS Gothic" w:hAnsi="Segoe UI Symbol" w:cs="Segoe UI Symbol"/>
                    <w:bCs/>
                    <w:sz w:val="28"/>
                    <w:szCs w:val="28"/>
                  </w:rPr>
                  <w:t>☐</w:t>
                </w:r>
              </w:sdtContent>
            </w:sdt>
          </w:p>
        </w:tc>
        <w:tc>
          <w:tcPr>
            <w:tcW w:w="9402" w:type="dxa"/>
            <w:gridSpan w:val="2"/>
            <w:shd w:val="clear" w:color="auto" w:fill="auto"/>
            <w:vAlign w:val="center"/>
          </w:tcPr>
          <w:p w14:paraId="6FE17C50" w14:textId="603390D2" w:rsidR="0062769B" w:rsidRDefault="0062769B" w:rsidP="0048587B">
            <w:pPr>
              <w:pStyle w:val="ListParagraph"/>
              <w:ind w:left="0"/>
              <w:contextualSpacing w:val="0"/>
              <w:rPr>
                <w:rFonts w:cs="Arial"/>
                <w:color w:val="000000"/>
              </w:rPr>
            </w:pPr>
            <w:r>
              <w:rPr>
                <w:rFonts w:cs="Arial"/>
                <w:color w:val="000000"/>
              </w:rPr>
              <w:t>Required</w:t>
            </w:r>
          </w:p>
        </w:tc>
      </w:tr>
      <w:tr w:rsidR="0062769B" w:rsidRPr="00830FC1" w14:paraId="58884A5B" w14:textId="77777777" w:rsidTr="00A80EF3">
        <w:trPr>
          <w:trHeight w:val="377"/>
        </w:trPr>
        <w:tc>
          <w:tcPr>
            <w:tcW w:w="498" w:type="dxa"/>
            <w:shd w:val="clear" w:color="auto" w:fill="auto"/>
          </w:tcPr>
          <w:p w14:paraId="523B31BA" w14:textId="4263111F" w:rsidR="0062769B" w:rsidRDefault="0008704B" w:rsidP="0048587B">
            <w:pPr>
              <w:pStyle w:val="ListParagraph"/>
              <w:ind w:left="0"/>
              <w:contextualSpacing w:val="0"/>
              <w:jc w:val="center"/>
              <w:rPr>
                <w:rFonts w:ascii="Segoe UI" w:eastAsia="MS Gothic" w:hAnsi="Segoe UI" w:cs="Segoe UI"/>
                <w:bCs/>
                <w:sz w:val="28"/>
                <w:szCs w:val="28"/>
              </w:rPr>
            </w:pPr>
            <w:sdt>
              <w:sdtPr>
                <w:rPr>
                  <w:rFonts w:ascii="Segoe UI" w:eastAsia="MS Gothic" w:hAnsi="Segoe UI" w:cs="Segoe UI"/>
                  <w:bCs/>
                  <w:sz w:val="28"/>
                  <w:szCs w:val="28"/>
                </w:rPr>
                <w:id w:val="647090974"/>
                <w14:checkbox>
                  <w14:checked w14:val="0"/>
                  <w14:checkedState w14:val="2612" w14:font="MS Gothic"/>
                  <w14:uncheckedState w14:val="2610" w14:font="MS Gothic"/>
                </w14:checkbox>
              </w:sdtPr>
              <w:sdtEndPr/>
              <w:sdtContent>
                <w:r w:rsidR="0062769B" w:rsidRPr="00721AFA">
                  <w:rPr>
                    <w:rFonts w:ascii="Segoe UI Symbol" w:eastAsia="MS Gothic" w:hAnsi="Segoe UI Symbol" w:cs="Segoe UI Symbol"/>
                    <w:bCs/>
                    <w:sz w:val="28"/>
                    <w:szCs w:val="28"/>
                  </w:rPr>
                  <w:t>☐</w:t>
                </w:r>
              </w:sdtContent>
            </w:sdt>
          </w:p>
        </w:tc>
        <w:tc>
          <w:tcPr>
            <w:tcW w:w="9402" w:type="dxa"/>
            <w:gridSpan w:val="2"/>
            <w:shd w:val="clear" w:color="auto" w:fill="auto"/>
            <w:vAlign w:val="center"/>
          </w:tcPr>
          <w:p w14:paraId="43EF9086" w14:textId="0D601280" w:rsidR="0062769B" w:rsidRDefault="0062769B" w:rsidP="0048587B">
            <w:pPr>
              <w:pStyle w:val="ListParagraph"/>
              <w:ind w:left="0"/>
              <w:contextualSpacing w:val="0"/>
              <w:rPr>
                <w:rFonts w:cs="Arial"/>
                <w:color w:val="000000"/>
              </w:rPr>
            </w:pPr>
            <w:r>
              <w:rPr>
                <w:rFonts w:cs="Arial"/>
                <w:color w:val="000000"/>
              </w:rPr>
              <w:t>Not Applicable</w:t>
            </w:r>
          </w:p>
        </w:tc>
      </w:tr>
      <w:tr w:rsidR="00B549E5" w:rsidRPr="00830FC1" w14:paraId="21B82562" w14:textId="77777777" w:rsidTr="00A80EF3">
        <w:trPr>
          <w:trHeight w:val="1250"/>
        </w:trPr>
        <w:tc>
          <w:tcPr>
            <w:tcW w:w="1944" w:type="dxa"/>
            <w:gridSpan w:val="2"/>
            <w:shd w:val="clear" w:color="auto" w:fill="auto"/>
            <w:vAlign w:val="center"/>
          </w:tcPr>
          <w:p w14:paraId="29093CDF" w14:textId="5B206406" w:rsidR="00B549E5" w:rsidRPr="0048587B" w:rsidRDefault="00B549E5" w:rsidP="00B549E5">
            <w:pPr>
              <w:pStyle w:val="ListParagraph"/>
              <w:ind w:left="0"/>
              <w:contextualSpacing w:val="0"/>
              <w:rPr>
                <w:rFonts w:cs="Arial"/>
                <w:bCs/>
              </w:rPr>
            </w:pPr>
            <w:r w:rsidRPr="0048587B">
              <w:rPr>
                <w:rFonts w:cs="Arial"/>
                <w:bCs/>
              </w:rPr>
              <w:t>Process Agent:</w:t>
            </w:r>
          </w:p>
        </w:tc>
        <w:tc>
          <w:tcPr>
            <w:tcW w:w="7956" w:type="dxa"/>
            <w:shd w:val="clear" w:color="auto" w:fill="auto"/>
            <w:vAlign w:val="center"/>
          </w:tcPr>
          <w:p w14:paraId="79FA48F9" w14:textId="2CFF97EE" w:rsidR="00B549E5" w:rsidRDefault="00B549E5" w:rsidP="00B549E5">
            <w:pPr>
              <w:pStyle w:val="ListParagraph"/>
              <w:ind w:left="0"/>
              <w:contextualSpacing w:val="0"/>
              <w:rPr>
                <w:rFonts w:cs="Arial"/>
              </w:rPr>
            </w:pPr>
            <w:r>
              <w:rPr>
                <w:rFonts w:cs="Arial"/>
              </w:rPr>
              <w:t>Name: _________________</w:t>
            </w:r>
          </w:p>
          <w:p w14:paraId="3998CCD4" w14:textId="77777777" w:rsidR="00B549E5" w:rsidRDefault="00B549E5" w:rsidP="00B549E5">
            <w:pPr>
              <w:pStyle w:val="ListParagraph"/>
              <w:ind w:left="0"/>
              <w:contextualSpacing w:val="0"/>
              <w:rPr>
                <w:rFonts w:cs="Arial"/>
              </w:rPr>
            </w:pPr>
          </w:p>
          <w:p w14:paraId="6270F01B" w14:textId="49C4FED0" w:rsidR="00B549E5" w:rsidRPr="00830FC1" w:rsidRDefault="00B549E5" w:rsidP="00B549E5">
            <w:pPr>
              <w:pStyle w:val="ListParagraph"/>
              <w:ind w:left="0"/>
              <w:contextualSpacing w:val="0"/>
              <w:rPr>
                <w:rFonts w:cs="Arial"/>
              </w:rPr>
            </w:pPr>
            <w:r>
              <w:rPr>
                <w:rFonts w:cs="Arial"/>
              </w:rPr>
              <w:t>Address: _______________</w:t>
            </w:r>
          </w:p>
        </w:tc>
      </w:tr>
      <w:tr w:rsidR="00B549E5" w:rsidRPr="00830FC1" w14:paraId="66841B0B" w14:textId="77777777" w:rsidTr="00A80EF3">
        <w:trPr>
          <w:trHeight w:val="179"/>
        </w:trPr>
        <w:tc>
          <w:tcPr>
            <w:tcW w:w="9900" w:type="dxa"/>
            <w:gridSpan w:val="3"/>
            <w:tcBorders>
              <w:top w:val="nil"/>
            </w:tcBorders>
            <w:shd w:val="clear" w:color="auto" w:fill="auto"/>
            <w:vAlign w:val="center"/>
          </w:tcPr>
          <w:p w14:paraId="1A5FC137" w14:textId="57A8E6AE" w:rsidR="00B549E5" w:rsidRPr="00AF3603" w:rsidRDefault="00B549E5" w:rsidP="00B549E5">
            <w:pPr>
              <w:pStyle w:val="ListParagraph"/>
              <w:ind w:left="0"/>
              <w:contextualSpacing w:val="0"/>
              <w:rPr>
                <w:rFonts w:cs="Arial"/>
                <w:i/>
                <w:iCs/>
              </w:rPr>
            </w:pPr>
            <w:r w:rsidRPr="00AF3603">
              <w:rPr>
                <w:rFonts w:cs="Arial"/>
                <w:i/>
                <w:iCs/>
                <w:sz w:val="16"/>
                <w:szCs w:val="16"/>
              </w:rPr>
              <w:t>(See Section</w:t>
            </w:r>
            <w:r w:rsidR="008A4D1F">
              <w:rPr>
                <w:rFonts w:cs="Arial"/>
                <w:i/>
                <w:iCs/>
                <w:sz w:val="16"/>
                <w:szCs w:val="16"/>
              </w:rPr>
              <w:t xml:space="preserve"> </w:t>
            </w:r>
            <w:r>
              <w:rPr>
                <w:rFonts w:cs="Arial"/>
                <w:i/>
                <w:iCs/>
                <w:sz w:val="16"/>
                <w:szCs w:val="16"/>
              </w:rPr>
              <w:t>9.01</w:t>
            </w:r>
            <w:r w:rsidRPr="00AF3603">
              <w:rPr>
                <w:rFonts w:cs="Arial"/>
                <w:i/>
                <w:iCs/>
                <w:sz w:val="16"/>
                <w:szCs w:val="16"/>
              </w:rPr>
              <w:t>)</w:t>
            </w:r>
          </w:p>
        </w:tc>
      </w:tr>
    </w:tbl>
    <w:p w14:paraId="750E5A72" w14:textId="77777777" w:rsidR="00650F0F" w:rsidRDefault="00650F0F" w:rsidP="00650F0F">
      <w:pPr>
        <w:rPr>
          <w:rFonts w:cs="Arial"/>
        </w:rPr>
      </w:pPr>
    </w:p>
    <w:p w14:paraId="11A2E732" w14:textId="77777777" w:rsidR="000576E5" w:rsidRDefault="000576E5" w:rsidP="000576E5">
      <w:pPr>
        <w:ind w:left="720" w:hanging="720"/>
        <w:rPr>
          <w:rFonts w:cs="Arial"/>
        </w:rPr>
      </w:pPr>
    </w:p>
    <w:p w14:paraId="15E6B73D" w14:textId="463F8539" w:rsidR="001736F3" w:rsidRDefault="008A4D1F" w:rsidP="000576E5">
      <w:pPr>
        <w:ind w:left="720" w:hanging="720"/>
        <w:rPr>
          <w:rFonts w:cs="Arial"/>
        </w:rPr>
      </w:pPr>
      <w:r>
        <w:rPr>
          <w:rFonts w:cs="Arial"/>
        </w:rPr>
        <w:t>B</w:t>
      </w:r>
      <w:r w:rsidR="000576E5" w:rsidRPr="00380484">
        <w:rPr>
          <w:rFonts w:cs="Arial"/>
        </w:rPr>
        <w:t>.</w:t>
      </w:r>
      <w:r w:rsidR="000576E5" w:rsidRPr="00380484">
        <w:rPr>
          <w:rFonts w:cs="Arial"/>
        </w:rPr>
        <w:tab/>
      </w:r>
      <w:r w:rsidR="001736F3">
        <w:rPr>
          <w:rFonts w:cs="Arial"/>
        </w:rPr>
        <w:t>Reserved.</w:t>
      </w:r>
    </w:p>
    <w:p w14:paraId="3F33B4EA" w14:textId="77777777" w:rsidR="001736F3" w:rsidRDefault="001736F3" w:rsidP="000576E5">
      <w:pPr>
        <w:ind w:left="720" w:hanging="720"/>
        <w:rPr>
          <w:rFonts w:cs="Arial"/>
        </w:rPr>
      </w:pPr>
    </w:p>
    <w:p w14:paraId="318C10E1" w14:textId="43591D75" w:rsidR="000576E5" w:rsidRPr="00380484" w:rsidRDefault="001736F3" w:rsidP="000576E5">
      <w:pPr>
        <w:ind w:left="720" w:hanging="720"/>
        <w:rPr>
          <w:rFonts w:cs="Arial"/>
        </w:rPr>
      </w:pPr>
      <w:r>
        <w:rPr>
          <w:rFonts w:cs="Arial"/>
        </w:rPr>
        <w:t>C.</w:t>
      </w:r>
      <w:r>
        <w:rPr>
          <w:rFonts w:cs="Arial"/>
        </w:rPr>
        <w:tab/>
      </w:r>
      <w:r w:rsidR="000576E5" w:rsidRPr="00380484">
        <w:rPr>
          <w:rFonts w:cs="Arial"/>
        </w:rPr>
        <w:t>Section</w:t>
      </w:r>
      <w:r w:rsidR="000576E5">
        <w:rPr>
          <w:rFonts w:cs="Arial"/>
        </w:rPr>
        <w:t>s</w:t>
      </w:r>
      <w:r w:rsidR="000576E5" w:rsidRPr="00380484">
        <w:rPr>
          <w:rFonts w:cs="Arial"/>
        </w:rPr>
        <w:t xml:space="preserve"> 9.01(</w:t>
      </w:r>
      <w:r w:rsidR="008C7449">
        <w:rPr>
          <w:rFonts w:cs="Arial"/>
        </w:rPr>
        <w:t>ff</w:t>
      </w:r>
      <w:r w:rsidR="000576E5" w:rsidRPr="00380484">
        <w:rPr>
          <w:rFonts w:cs="Arial"/>
        </w:rPr>
        <w:t xml:space="preserve">) and </w:t>
      </w:r>
      <w:r w:rsidR="008C7449">
        <w:rPr>
          <w:rFonts w:cs="Arial"/>
        </w:rPr>
        <w:t>9.01</w:t>
      </w:r>
      <w:r w:rsidR="000576E5" w:rsidRPr="00380484">
        <w:rPr>
          <w:rFonts w:cs="Arial"/>
        </w:rPr>
        <w:t>(</w:t>
      </w:r>
      <w:r w:rsidR="008C7449">
        <w:rPr>
          <w:rFonts w:cs="Arial"/>
        </w:rPr>
        <w:t>gg</w:t>
      </w:r>
      <w:r w:rsidR="000576E5" w:rsidRPr="00380484">
        <w:rPr>
          <w:rFonts w:cs="Arial"/>
        </w:rPr>
        <w:t>) are deleted and replaced with the following:</w:t>
      </w:r>
    </w:p>
    <w:p w14:paraId="6570458D" w14:textId="77777777" w:rsidR="000576E5" w:rsidRPr="00380484" w:rsidRDefault="000576E5" w:rsidP="000576E5">
      <w:pPr>
        <w:ind w:left="1440"/>
        <w:rPr>
          <w:rFonts w:cs="Arial"/>
          <w:b/>
        </w:rPr>
      </w:pPr>
    </w:p>
    <w:p w14:paraId="1F292CCF" w14:textId="223831B6" w:rsidR="000576E5" w:rsidRPr="00380484" w:rsidRDefault="000576E5" w:rsidP="000576E5">
      <w:pPr>
        <w:pStyle w:val="ExDStdProvsNormal"/>
        <w:ind w:left="1440" w:hanging="720"/>
        <w:rPr>
          <w:rFonts w:ascii="Arial" w:hAnsi="Arial" w:cs="Arial"/>
          <w:sz w:val="20"/>
          <w:szCs w:val="20"/>
        </w:rPr>
      </w:pPr>
      <w:r w:rsidRPr="00380484">
        <w:rPr>
          <w:rFonts w:ascii="Arial" w:hAnsi="Arial" w:cs="Arial"/>
          <w:sz w:val="20"/>
          <w:szCs w:val="20"/>
        </w:rPr>
        <w:t>(</w:t>
      </w:r>
      <w:r w:rsidR="008C7449">
        <w:rPr>
          <w:rFonts w:ascii="Arial" w:hAnsi="Arial" w:cs="Arial"/>
          <w:sz w:val="20"/>
          <w:szCs w:val="20"/>
        </w:rPr>
        <w:t>ff</w:t>
      </w:r>
      <w:r w:rsidRPr="00380484">
        <w:rPr>
          <w:rFonts w:ascii="Arial" w:hAnsi="Arial" w:cs="Arial"/>
          <w:sz w:val="20"/>
          <w:szCs w:val="20"/>
        </w:rPr>
        <w:t>)</w:t>
      </w:r>
      <w:r w:rsidRPr="00380484">
        <w:rPr>
          <w:rFonts w:ascii="Arial" w:hAnsi="Arial" w:cs="Arial"/>
          <w:sz w:val="20"/>
          <w:szCs w:val="20"/>
        </w:rPr>
        <w:tab/>
        <w:t>Foreign Guarantor fails to</w:t>
      </w:r>
      <w:r w:rsidRPr="00380484">
        <w:rPr>
          <w:rFonts w:ascii="Arial" w:hAnsi="Arial" w:cs="Arial"/>
          <w:b/>
          <w:sz w:val="20"/>
          <w:szCs w:val="20"/>
        </w:rPr>
        <w:t xml:space="preserve"> </w:t>
      </w:r>
      <w:r w:rsidRPr="00380484">
        <w:rPr>
          <w:rFonts w:ascii="Arial" w:hAnsi="Arial" w:cs="Arial"/>
          <w:sz w:val="20"/>
          <w:szCs w:val="20"/>
        </w:rPr>
        <w:t>appoint a substitute Process Agent within 10 days after the existing Process Agent becomes unable to act in such capacity.</w:t>
      </w:r>
    </w:p>
    <w:p w14:paraId="09A8BAF9" w14:textId="77777777" w:rsidR="000576E5" w:rsidRPr="00380484" w:rsidRDefault="000576E5" w:rsidP="000576E5">
      <w:pPr>
        <w:ind w:left="2160" w:hanging="720"/>
        <w:rPr>
          <w:rFonts w:cs="Arial"/>
          <w:b/>
        </w:rPr>
      </w:pPr>
    </w:p>
    <w:p w14:paraId="291997A8" w14:textId="2B81D2F0" w:rsidR="000576E5" w:rsidRPr="00380484" w:rsidRDefault="000576E5" w:rsidP="000576E5">
      <w:pPr>
        <w:ind w:left="1440" w:hanging="720"/>
        <w:rPr>
          <w:rFonts w:cs="Arial"/>
        </w:rPr>
      </w:pPr>
      <w:r w:rsidRPr="00380484">
        <w:rPr>
          <w:rFonts w:cs="Arial"/>
        </w:rPr>
        <w:t>(</w:t>
      </w:r>
      <w:r w:rsidR="008C7449">
        <w:rPr>
          <w:rFonts w:cs="Arial"/>
        </w:rPr>
        <w:t>gg</w:t>
      </w:r>
      <w:r w:rsidRPr="00380484">
        <w:rPr>
          <w:rFonts w:cs="Arial"/>
        </w:rPr>
        <w:t>)</w:t>
      </w:r>
      <w:r w:rsidRPr="00380484">
        <w:rPr>
          <w:rFonts w:cs="Arial"/>
        </w:rPr>
        <w:tab/>
      </w:r>
      <w:r w:rsidR="00B73A2B">
        <w:rPr>
          <w:rFonts w:cs="Arial"/>
        </w:rPr>
        <w:t xml:space="preserve">If Minimum U.S. Deposit is </w:t>
      </w:r>
      <w:r w:rsidR="0062769B">
        <w:rPr>
          <w:rFonts w:cs="Arial"/>
        </w:rPr>
        <w:t>required in Section 1.05</w:t>
      </w:r>
      <w:r w:rsidR="00B73A2B">
        <w:rPr>
          <w:rFonts w:cs="Arial"/>
        </w:rPr>
        <w:t xml:space="preserve">, </w:t>
      </w:r>
      <w:r w:rsidRPr="00380484">
        <w:rPr>
          <w:rFonts w:cs="Arial"/>
        </w:rPr>
        <w:t>Foreign Guarantor fails to maintain the Minimum U.S. Deposit</w:t>
      </w:r>
      <w:r w:rsidR="00B73A2B">
        <w:rPr>
          <w:rFonts w:cs="Arial"/>
        </w:rPr>
        <w:t xml:space="preserve"> as set forth in </w:t>
      </w:r>
      <w:r>
        <w:rPr>
          <w:rFonts w:cs="Arial"/>
        </w:rPr>
        <w:t xml:space="preserve">the Guaranty. </w:t>
      </w:r>
    </w:p>
    <w:p w14:paraId="55DBE085" w14:textId="77777777" w:rsidR="000576E5" w:rsidRPr="00380484" w:rsidRDefault="000576E5" w:rsidP="000576E5">
      <w:pPr>
        <w:ind w:left="1440"/>
        <w:rPr>
          <w:rFonts w:cs="Arial"/>
        </w:rPr>
      </w:pPr>
    </w:p>
    <w:p w14:paraId="34A815EF" w14:textId="68CC56A3" w:rsidR="000576E5" w:rsidRPr="00380484" w:rsidRDefault="001736F3" w:rsidP="000576E5">
      <w:pPr>
        <w:ind w:left="720" w:hanging="720"/>
        <w:rPr>
          <w:rFonts w:cs="Arial"/>
        </w:rPr>
      </w:pPr>
      <w:r>
        <w:rPr>
          <w:rFonts w:cs="Arial"/>
        </w:rPr>
        <w:t>D</w:t>
      </w:r>
      <w:r w:rsidR="000576E5" w:rsidRPr="00380484">
        <w:rPr>
          <w:rFonts w:cs="Arial"/>
        </w:rPr>
        <w:t>.</w:t>
      </w:r>
      <w:r w:rsidR="000576E5" w:rsidRPr="00380484">
        <w:rPr>
          <w:rFonts w:cs="Arial"/>
        </w:rPr>
        <w:tab/>
        <w:t>The following definitions are added to Article XII:</w:t>
      </w:r>
    </w:p>
    <w:p w14:paraId="2F5E3962" w14:textId="77777777" w:rsidR="000576E5" w:rsidRPr="00380484" w:rsidRDefault="000576E5" w:rsidP="000576E5">
      <w:pPr>
        <w:ind w:left="720" w:hanging="720"/>
        <w:rPr>
          <w:rFonts w:cs="Arial"/>
        </w:rPr>
      </w:pPr>
    </w:p>
    <w:p w14:paraId="679F6392" w14:textId="232DE56F" w:rsidR="003F5E9A" w:rsidRPr="00597E5B" w:rsidRDefault="000576E5" w:rsidP="003F5E9A">
      <w:pPr>
        <w:ind w:left="720"/>
        <w:rPr>
          <w:rFonts w:cs="Arial"/>
        </w:rPr>
      </w:pPr>
      <w:r w:rsidRPr="00380484">
        <w:rPr>
          <w:rFonts w:cs="Arial"/>
        </w:rPr>
        <w:t>“</w:t>
      </w:r>
      <w:r w:rsidRPr="00380484">
        <w:rPr>
          <w:rFonts w:cs="Arial"/>
          <w:b/>
        </w:rPr>
        <w:t>Foreign Guarantor</w:t>
      </w:r>
      <w:r w:rsidRPr="00380484">
        <w:rPr>
          <w:rFonts w:cs="Arial"/>
        </w:rPr>
        <w:t xml:space="preserve">” </w:t>
      </w:r>
      <w:r w:rsidR="002D1719" w:rsidRPr="002D1719">
        <w:rPr>
          <w:rFonts w:cs="Arial"/>
        </w:rPr>
        <w:t>means a Guaranto</w:t>
      </w:r>
      <w:r w:rsidR="002D1719" w:rsidRPr="003F5E9A">
        <w:rPr>
          <w:rFonts w:cs="Arial"/>
        </w:rPr>
        <w:t>r</w:t>
      </w:r>
      <w:r w:rsidR="003F5E9A" w:rsidRPr="00597E5B">
        <w:rPr>
          <w:rFonts w:cs="Arial"/>
        </w:rPr>
        <w:t xml:space="preserve"> that is any of the following: </w:t>
      </w:r>
    </w:p>
    <w:p w14:paraId="68BBBD7D" w14:textId="61E16652" w:rsidR="003F5E9A" w:rsidRPr="00597E5B" w:rsidRDefault="003F5E9A" w:rsidP="00597E5B">
      <w:pPr>
        <w:ind w:left="720"/>
        <w:rPr>
          <w:rFonts w:cs="Arial"/>
        </w:rPr>
      </w:pPr>
      <w:r w:rsidRPr="00597E5B">
        <w:rPr>
          <w:rFonts w:cs="Arial"/>
        </w:rPr>
        <w:t>(i)</w:t>
      </w:r>
      <w:r w:rsidRPr="00597E5B">
        <w:rPr>
          <w:rFonts w:cs="Arial"/>
        </w:rPr>
        <w:tab/>
        <w:t xml:space="preserve">An entity that is not formed in the United States. </w:t>
      </w:r>
    </w:p>
    <w:p w14:paraId="04077097" w14:textId="01F91CAC" w:rsidR="003F5E9A" w:rsidRPr="00597E5B" w:rsidRDefault="003F5E9A" w:rsidP="00597E5B">
      <w:pPr>
        <w:ind w:left="1440" w:hanging="720"/>
        <w:rPr>
          <w:rFonts w:cs="Arial"/>
        </w:rPr>
      </w:pPr>
      <w:r w:rsidRPr="00597E5B">
        <w:rPr>
          <w:rFonts w:cs="Arial"/>
        </w:rPr>
        <w:t>(ii)</w:t>
      </w:r>
      <w:r w:rsidRPr="00597E5B">
        <w:rPr>
          <w:rFonts w:cs="Arial"/>
        </w:rPr>
        <w:tab/>
        <w:t xml:space="preserve">A lawful permanent resident or citizen of the United States who does not reside in the United States. </w:t>
      </w:r>
    </w:p>
    <w:p w14:paraId="4CCC29FC" w14:textId="185D5637" w:rsidR="000576E5" w:rsidRPr="003F5E9A" w:rsidRDefault="003F5E9A" w:rsidP="00597E5B">
      <w:pPr>
        <w:ind w:left="1440" w:hanging="720"/>
        <w:rPr>
          <w:rFonts w:cs="Arial"/>
        </w:rPr>
      </w:pPr>
      <w:r w:rsidRPr="00597E5B">
        <w:rPr>
          <w:rFonts w:cs="Arial"/>
        </w:rPr>
        <w:t>(iii)</w:t>
      </w:r>
      <w:r w:rsidRPr="00597E5B">
        <w:rPr>
          <w:rFonts w:cs="Arial"/>
        </w:rPr>
        <w:tab/>
        <w:t>A citizen of a country other than the United States (unless they are also a lawful permanent resident or citizen of the United States who resides in the United States)</w:t>
      </w:r>
      <w:r w:rsidR="002D1719" w:rsidRPr="003F5E9A">
        <w:rPr>
          <w:rFonts w:cs="Arial"/>
        </w:rPr>
        <w:t>.</w:t>
      </w:r>
    </w:p>
    <w:p w14:paraId="4F738A07" w14:textId="77777777" w:rsidR="000576E5" w:rsidRDefault="000576E5" w:rsidP="000576E5">
      <w:pPr>
        <w:ind w:left="720" w:hanging="90"/>
        <w:rPr>
          <w:rFonts w:cs="Arial"/>
          <w:b/>
          <w:bCs/>
        </w:rPr>
      </w:pPr>
    </w:p>
    <w:p w14:paraId="25B43474" w14:textId="2E0BDB1B" w:rsidR="000576E5" w:rsidRDefault="000576E5" w:rsidP="00303DD4">
      <w:pPr>
        <w:ind w:left="720"/>
        <w:rPr>
          <w:rFonts w:cs="Arial"/>
        </w:rPr>
      </w:pPr>
      <w:r w:rsidRPr="00380484">
        <w:rPr>
          <w:rFonts w:cs="Arial"/>
        </w:rPr>
        <w:t>“</w:t>
      </w:r>
      <w:r w:rsidRPr="00380484">
        <w:rPr>
          <w:rFonts w:cs="Arial"/>
          <w:b/>
        </w:rPr>
        <w:t>Minimum U.S. Deposit</w:t>
      </w:r>
      <w:r w:rsidRPr="00380484">
        <w:rPr>
          <w:rFonts w:cs="Arial"/>
        </w:rPr>
        <w:t xml:space="preserve">” </w:t>
      </w:r>
      <w:r w:rsidR="002D1719" w:rsidRPr="002D1719">
        <w:rPr>
          <w:rFonts w:cs="Arial"/>
        </w:rPr>
        <w:t xml:space="preserve">means 5% of the original principal balance of the </w:t>
      </w:r>
      <w:r w:rsidR="008A4D1F">
        <w:rPr>
          <w:rFonts w:cs="Arial"/>
        </w:rPr>
        <w:t>Project Loan</w:t>
      </w:r>
      <w:r w:rsidR="002D1719" w:rsidRPr="002D1719">
        <w:rPr>
          <w:rFonts w:cs="Arial"/>
        </w:rPr>
        <w:t xml:space="preserve"> which must be maintained in a U.S. federally insured banking institution acceptable to </w:t>
      </w:r>
      <w:r w:rsidR="008A4D1F">
        <w:rPr>
          <w:rFonts w:cs="Arial"/>
        </w:rPr>
        <w:t xml:space="preserve">Funding </w:t>
      </w:r>
      <w:r w:rsidR="002D1719" w:rsidRPr="002D1719">
        <w:rPr>
          <w:rFonts w:cs="Arial"/>
        </w:rPr>
        <w:t>Lender in its sole discretion.</w:t>
      </w:r>
      <w:r w:rsidR="009E0DAD">
        <w:rPr>
          <w:rFonts w:cs="Arial"/>
        </w:rPr>
        <w:t xml:space="preserve"> The Minimum U.S. Deposit may be maintained in the aggregate if there is more than one Foreign Guarantor.</w:t>
      </w:r>
      <w:r w:rsidR="002C3864">
        <w:rPr>
          <w:rFonts w:cs="Arial"/>
        </w:rPr>
        <w:t xml:space="preserve"> </w:t>
      </w:r>
    </w:p>
    <w:p w14:paraId="53B49BB3" w14:textId="77777777" w:rsidR="00D764B6" w:rsidRPr="00380484" w:rsidRDefault="00D764B6" w:rsidP="002D1719">
      <w:pPr>
        <w:ind w:left="720" w:hanging="90"/>
        <w:rPr>
          <w:rFonts w:cs="Arial"/>
        </w:rPr>
      </w:pPr>
    </w:p>
    <w:p w14:paraId="713EDBC0" w14:textId="3D4E03EC" w:rsidR="002D1719" w:rsidRPr="002D1719" w:rsidRDefault="000576E5" w:rsidP="002D1719">
      <w:pPr>
        <w:tabs>
          <w:tab w:val="right" w:pos="-1170"/>
          <w:tab w:val="left" w:pos="-720"/>
          <w:tab w:val="left" w:pos="0"/>
        </w:tabs>
        <w:suppressAutoHyphens/>
        <w:ind w:left="720"/>
        <w:rPr>
          <w:rFonts w:cs="Arial"/>
        </w:rPr>
      </w:pPr>
      <w:r w:rsidRPr="00380484">
        <w:rPr>
          <w:rFonts w:cs="Arial"/>
        </w:rPr>
        <w:t>“</w:t>
      </w:r>
      <w:r w:rsidRPr="00380484">
        <w:rPr>
          <w:rFonts w:cs="Arial"/>
          <w:b/>
        </w:rPr>
        <w:t>Process Agent</w:t>
      </w:r>
      <w:r w:rsidRPr="00380484">
        <w:rPr>
          <w:rFonts w:cs="Arial"/>
        </w:rPr>
        <w:t xml:space="preserve">” </w:t>
      </w:r>
      <w:r w:rsidR="002D1719" w:rsidRPr="002D1719">
        <w:rPr>
          <w:rFonts w:cs="Arial"/>
        </w:rPr>
        <w:t>means an agent for service of any and all process in any suit, action or other legal proceeding arising out of or relating to the Guaranty. The name and address of the Process Agent is</w:t>
      </w:r>
      <w:r w:rsidR="00650F0F">
        <w:rPr>
          <w:rFonts w:cs="Arial"/>
        </w:rPr>
        <w:t xml:space="preserve"> identified in </w:t>
      </w:r>
      <w:r w:rsidR="009F175D">
        <w:rPr>
          <w:rFonts w:cs="Arial"/>
        </w:rPr>
        <w:t>Section 1.05</w:t>
      </w:r>
      <w:r w:rsidR="00650F0F">
        <w:rPr>
          <w:rFonts w:cs="Arial"/>
        </w:rPr>
        <w:t xml:space="preserve">. </w:t>
      </w:r>
    </w:p>
    <w:sectPr w:rsidR="002D1719" w:rsidRPr="002D1719"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D6FF" w14:textId="77777777" w:rsidR="00B548CF" w:rsidRDefault="00B548CF" w:rsidP="00B604F3">
      <w:r>
        <w:separator/>
      </w:r>
    </w:p>
  </w:endnote>
  <w:endnote w:type="continuationSeparator" w:id="0">
    <w:p w14:paraId="2F0A0281" w14:textId="77777777" w:rsidR="00B548CF" w:rsidRDefault="00B548CF"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4C2F" w14:textId="77777777" w:rsidR="00B17C9A" w:rsidRDefault="00B17C9A" w:rsidP="000A1DF9">
    <w:pPr>
      <w:pStyle w:val="Footer"/>
      <w:tabs>
        <w:tab w:val="left" w:pos="473"/>
        <w:tab w:val="right" w:pos="10080"/>
      </w:tabs>
    </w:pPr>
  </w:p>
  <w:p w14:paraId="2813F294" w14:textId="7FCB3429" w:rsidR="000A1DF9" w:rsidRDefault="000A1DF9" w:rsidP="000A1DF9">
    <w:pPr>
      <w:pStyle w:val="Footer"/>
      <w:tabs>
        <w:tab w:val="left" w:pos="473"/>
        <w:tab w:val="right" w:pos="10080"/>
      </w:tabs>
    </w:pPr>
    <w:r>
      <w:t xml:space="preserve">Rider to </w:t>
    </w:r>
    <w:r w:rsidR="008A4D1F">
      <w:t>Continuing Covenant Agreement</w:t>
    </w:r>
  </w:p>
  <w:p w14:paraId="036F8DAB" w14:textId="389208D7" w:rsidR="00E73FB7" w:rsidRDefault="00B17C9A" w:rsidP="000A1DF9">
    <w:pPr>
      <w:pStyle w:val="Footer"/>
      <w:tabs>
        <w:tab w:val="right" w:pos="10080"/>
      </w:tabs>
    </w:pPr>
    <w:r>
      <w:t>Foreign Guarantor</w:t>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20C6" w14:textId="77777777" w:rsidR="000576E5" w:rsidRDefault="000576E5" w:rsidP="006903FD">
    <w:pPr>
      <w:pStyle w:val="Footer"/>
      <w:tabs>
        <w:tab w:val="left" w:pos="473"/>
        <w:tab w:val="right" w:pos="10080"/>
      </w:tabs>
    </w:pPr>
  </w:p>
  <w:p w14:paraId="22D2B3CD" w14:textId="59B3502F" w:rsidR="006903FD" w:rsidRPr="000576E5" w:rsidRDefault="000576E5" w:rsidP="000576E5">
    <w:pPr>
      <w:pStyle w:val="CoverPageLoanNumberandName"/>
      <w:spacing w:after="0"/>
      <w:jc w:val="left"/>
      <w:rPr>
        <w:rFonts w:ascii="Arial" w:hAnsi="Arial" w:cs="Arial"/>
        <w:bCs/>
        <w:sz w:val="20"/>
        <w:szCs w:val="20"/>
      </w:rPr>
    </w:pPr>
    <w:r w:rsidRPr="000576E5">
      <w:rPr>
        <w:rFonts w:ascii="Arial" w:hAnsi="Arial" w:cs="Arial"/>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FC03" w14:textId="77777777" w:rsidR="00B548CF" w:rsidRDefault="00B548CF" w:rsidP="00B604F3">
      <w:r>
        <w:separator/>
      </w:r>
    </w:p>
  </w:footnote>
  <w:footnote w:type="continuationSeparator" w:id="0">
    <w:p w14:paraId="036B44E5" w14:textId="77777777" w:rsidR="00B548CF" w:rsidRDefault="00B548CF"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37A63"/>
    <w:multiLevelType w:val="hybridMultilevel"/>
    <w:tmpl w:val="D57C9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3152C"/>
    <w:multiLevelType w:val="hybridMultilevel"/>
    <w:tmpl w:val="2F227D0A"/>
    <w:lvl w:ilvl="0" w:tplc="7CB49C1C">
      <w:start w:val="1"/>
      <w:numFmt w:val="lowerRoman"/>
      <w:lvlText w:val="(%1)"/>
      <w:lvlJc w:val="left"/>
      <w:pPr>
        <w:ind w:left="1440" w:hanging="720"/>
      </w:pPr>
      <w:rPr>
        <w:rFonts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8555978">
    <w:abstractNumId w:val="1"/>
  </w:num>
  <w:num w:numId="2" w16cid:durableId="101612636">
    <w:abstractNumId w:val="0"/>
  </w:num>
  <w:num w:numId="3" w16cid:durableId="300044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576E5"/>
    <w:rsid w:val="0008704B"/>
    <w:rsid w:val="000A1DF9"/>
    <w:rsid w:val="000F0675"/>
    <w:rsid w:val="00166601"/>
    <w:rsid w:val="001736F3"/>
    <w:rsid w:val="00186FF1"/>
    <w:rsid w:val="001A1157"/>
    <w:rsid w:val="002C1736"/>
    <w:rsid w:val="002C21E5"/>
    <w:rsid w:val="002C3864"/>
    <w:rsid w:val="002C5B5E"/>
    <w:rsid w:val="002D1719"/>
    <w:rsid w:val="00303DD4"/>
    <w:rsid w:val="0033328C"/>
    <w:rsid w:val="0036756C"/>
    <w:rsid w:val="003C1A13"/>
    <w:rsid w:val="003F4B8D"/>
    <w:rsid w:val="003F5E9A"/>
    <w:rsid w:val="00412749"/>
    <w:rsid w:val="00477ACE"/>
    <w:rsid w:val="0048587B"/>
    <w:rsid w:val="004A2504"/>
    <w:rsid w:val="00560E9F"/>
    <w:rsid w:val="00597E5B"/>
    <w:rsid w:val="005F5D98"/>
    <w:rsid w:val="005F7525"/>
    <w:rsid w:val="006200C9"/>
    <w:rsid w:val="0062769B"/>
    <w:rsid w:val="00635D7D"/>
    <w:rsid w:val="00650F0F"/>
    <w:rsid w:val="00653058"/>
    <w:rsid w:val="006903FD"/>
    <w:rsid w:val="00690776"/>
    <w:rsid w:val="006A1F77"/>
    <w:rsid w:val="007364F6"/>
    <w:rsid w:val="007577D6"/>
    <w:rsid w:val="007C3B93"/>
    <w:rsid w:val="00803BAD"/>
    <w:rsid w:val="008A4D1F"/>
    <w:rsid w:val="008C7449"/>
    <w:rsid w:val="008D1F6F"/>
    <w:rsid w:val="008D4BE4"/>
    <w:rsid w:val="00973402"/>
    <w:rsid w:val="00974C09"/>
    <w:rsid w:val="009B3079"/>
    <w:rsid w:val="009E0DAD"/>
    <w:rsid w:val="009F175D"/>
    <w:rsid w:val="009F6970"/>
    <w:rsid w:val="00A31838"/>
    <w:rsid w:val="00A51C85"/>
    <w:rsid w:val="00A6056F"/>
    <w:rsid w:val="00A80EF3"/>
    <w:rsid w:val="00AA6FE7"/>
    <w:rsid w:val="00B17C9A"/>
    <w:rsid w:val="00B240DB"/>
    <w:rsid w:val="00B458E9"/>
    <w:rsid w:val="00B53606"/>
    <w:rsid w:val="00B548CF"/>
    <w:rsid w:val="00B549E5"/>
    <w:rsid w:val="00B604F3"/>
    <w:rsid w:val="00B73A2B"/>
    <w:rsid w:val="00BB5229"/>
    <w:rsid w:val="00C008B4"/>
    <w:rsid w:val="00C5050E"/>
    <w:rsid w:val="00C96FF7"/>
    <w:rsid w:val="00CA22B1"/>
    <w:rsid w:val="00CA76D3"/>
    <w:rsid w:val="00CB0E8F"/>
    <w:rsid w:val="00CB7526"/>
    <w:rsid w:val="00D764B6"/>
    <w:rsid w:val="00D92550"/>
    <w:rsid w:val="00E73FB7"/>
    <w:rsid w:val="00ED2159"/>
    <w:rsid w:val="00EF2A33"/>
    <w:rsid w:val="00F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CoverPageLoanNumberandName">
    <w:name w:val="Cover Page (Loan Number and Name)"/>
    <w:basedOn w:val="Normal"/>
    <w:rsid w:val="000576E5"/>
    <w:pPr>
      <w:spacing w:after="240"/>
      <w:jc w:val="both"/>
    </w:pPr>
    <w:rPr>
      <w:rFonts w:ascii="Times New Roman" w:hAnsi="Times New Roman"/>
      <w:sz w:val="24"/>
      <w:szCs w:val="24"/>
    </w:rPr>
  </w:style>
  <w:style w:type="character" w:styleId="CommentReference">
    <w:name w:val="annotation reference"/>
    <w:uiPriority w:val="99"/>
    <w:rsid w:val="000576E5"/>
    <w:rPr>
      <w:sz w:val="16"/>
      <w:szCs w:val="16"/>
    </w:rPr>
  </w:style>
  <w:style w:type="paragraph" w:styleId="CommentText">
    <w:name w:val="annotation text"/>
    <w:basedOn w:val="Normal"/>
    <w:link w:val="CommentTextChar"/>
    <w:rsid w:val="000576E5"/>
    <w:pPr>
      <w:overflowPunct w:val="0"/>
      <w:autoSpaceDE w:val="0"/>
      <w:autoSpaceDN w:val="0"/>
      <w:adjustRightInd w:val="0"/>
      <w:textAlignment w:val="baseline"/>
    </w:pPr>
    <w:rPr>
      <w:rFonts w:ascii="Times New Roman" w:hAnsi="Times New Roman"/>
    </w:rPr>
  </w:style>
  <w:style w:type="character" w:customStyle="1" w:styleId="CommentTextChar">
    <w:name w:val="Comment Text Char"/>
    <w:basedOn w:val="DefaultParagraphFont"/>
    <w:link w:val="CommentText"/>
    <w:rsid w:val="000576E5"/>
    <w:rPr>
      <w:rFonts w:ascii="Times New Roman" w:eastAsia="Times New Roman" w:hAnsi="Times New Roman" w:cs="Times New Roman"/>
      <w:color w:val="auto"/>
      <w:szCs w:val="20"/>
    </w:rPr>
  </w:style>
  <w:style w:type="paragraph" w:customStyle="1" w:styleId="ExDStdProvsNormal">
    <w:name w:val="ExDStdProvsNormal"/>
    <w:rsid w:val="000576E5"/>
    <w:pPr>
      <w:spacing w:after="0"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653058"/>
    <w:pPr>
      <w:overflowPunct/>
      <w:autoSpaceDE/>
      <w:autoSpaceDN/>
      <w:adjustRightInd/>
      <w:textAlignment w:val="auto"/>
    </w:pPr>
    <w:rPr>
      <w:rFonts w:ascii="Arial" w:hAnsi="Arial"/>
      <w:b/>
      <w:bCs/>
    </w:rPr>
  </w:style>
  <w:style w:type="character" w:customStyle="1" w:styleId="CommentSubjectChar">
    <w:name w:val="Comment Subject Char"/>
    <w:basedOn w:val="CommentTextChar"/>
    <w:link w:val="CommentSubject"/>
    <w:uiPriority w:val="99"/>
    <w:semiHidden/>
    <w:rsid w:val="00653058"/>
    <w:rPr>
      <w:rFonts w:ascii="Times New Roman" w:eastAsia="Times New Roman" w:hAnsi="Times New Roman" w:cs="Times New Roman"/>
      <w:b/>
      <w:bCs/>
      <w:color w:val="auto"/>
      <w:szCs w:val="20"/>
    </w:rPr>
  </w:style>
  <w:style w:type="paragraph" w:styleId="Revision">
    <w:name w:val="Revision"/>
    <w:hidden/>
    <w:uiPriority w:val="99"/>
    <w:semiHidden/>
    <w:rsid w:val="00303DD4"/>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131">
      <w:bodyDiv w:val="1"/>
      <w:marLeft w:val="0"/>
      <w:marRight w:val="0"/>
      <w:marTop w:val="0"/>
      <w:marBottom w:val="0"/>
      <w:divBdr>
        <w:top w:val="none" w:sz="0" w:space="0" w:color="auto"/>
        <w:left w:val="none" w:sz="0" w:space="0" w:color="auto"/>
        <w:bottom w:val="none" w:sz="0" w:space="0" w:color="auto"/>
        <w:right w:val="none" w:sz="0" w:space="0" w:color="auto"/>
      </w:divBdr>
    </w:div>
    <w:div w:id="1493377002">
      <w:bodyDiv w:val="1"/>
      <w:marLeft w:val="0"/>
      <w:marRight w:val="0"/>
      <w:marTop w:val="0"/>
      <w:marBottom w:val="0"/>
      <w:divBdr>
        <w:top w:val="none" w:sz="0" w:space="0" w:color="auto"/>
        <w:left w:val="none" w:sz="0" w:space="0" w:color="auto"/>
        <w:bottom w:val="none" w:sz="0" w:space="0" w:color="auto"/>
        <w:right w:val="none" w:sz="0" w:space="0" w:color="auto"/>
      </w:divBdr>
    </w:div>
    <w:div w:id="21461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2024-03-19T17:39:00Z</dcterms:created>
  <dcterms:modified xsi:type="dcterms:W3CDTF">2024-03-20T15:18:00Z</dcterms:modified>
</cp:coreProperties>
</file>