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B699" w14:textId="06C39285" w:rsidR="0057758B" w:rsidRDefault="00FC6127" w:rsidP="00FC6127">
      <w:pPr>
        <w:jc w:val="center"/>
        <w:rPr>
          <w:rFonts w:cs="Arial"/>
          <w:b/>
          <w:sz w:val="24"/>
          <w:szCs w:val="24"/>
        </w:rPr>
      </w:pPr>
      <w:r w:rsidRPr="000B004F">
        <w:rPr>
          <w:rFonts w:cs="Arial"/>
          <w:b/>
          <w:sz w:val="24"/>
          <w:szCs w:val="24"/>
        </w:rPr>
        <w:t>Rider to Loan Agreement</w:t>
      </w:r>
    </w:p>
    <w:p w14:paraId="4FCFA505" w14:textId="3C79B244" w:rsidR="00BA72BA" w:rsidRPr="000B004F" w:rsidRDefault="009E7D2C" w:rsidP="000B004F">
      <w:pPr>
        <w:tabs>
          <w:tab w:val="center" w:pos="5040"/>
          <w:tab w:val="left" w:pos="8145"/>
        </w:tabs>
        <w:rPr>
          <w:rFonts w:cs="Arial"/>
          <w:b/>
          <w:sz w:val="24"/>
          <w:szCs w:val="24"/>
        </w:rPr>
      </w:pPr>
      <w:r>
        <w:rPr>
          <w:rFonts w:cs="Arial"/>
          <w:b/>
          <w:sz w:val="24"/>
          <w:szCs w:val="24"/>
        </w:rPr>
        <w:tab/>
      </w:r>
      <w:r w:rsidR="00BA72BA" w:rsidRPr="000B004F">
        <w:rPr>
          <w:rFonts w:cs="Arial"/>
          <w:b/>
          <w:sz w:val="24"/>
          <w:szCs w:val="24"/>
        </w:rPr>
        <w:t xml:space="preserve">Cross-Collateralized </w:t>
      </w:r>
      <w:r w:rsidR="002A5D1B">
        <w:rPr>
          <w:rFonts w:cs="Arial"/>
          <w:b/>
          <w:sz w:val="24"/>
          <w:szCs w:val="24"/>
        </w:rPr>
        <w:t>Transaction</w:t>
      </w:r>
      <w:r>
        <w:rPr>
          <w:rFonts w:cs="Arial"/>
          <w:b/>
          <w:sz w:val="24"/>
          <w:szCs w:val="24"/>
        </w:rPr>
        <w:tab/>
      </w:r>
    </w:p>
    <w:p w14:paraId="64BA05C5" w14:textId="0FD0F37A" w:rsidR="00E73FB7" w:rsidRPr="000B004F" w:rsidRDefault="00E73FB7" w:rsidP="000B004F">
      <w:pPr>
        <w:jc w:val="center"/>
        <w:rPr>
          <w:rFonts w:cs="Arial"/>
          <w:bCs/>
        </w:rPr>
      </w:pPr>
      <w:r w:rsidRPr="004961B5">
        <w:rPr>
          <w:rFonts w:cs="Arial"/>
          <w:bCs/>
        </w:rPr>
        <w:t>(Revised</w:t>
      </w:r>
      <w:r w:rsidR="00791E39">
        <w:rPr>
          <w:rFonts w:cs="Arial"/>
          <w:bCs/>
        </w:rPr>
        <w:t xml:space="preserve"> </w:t>
      </w:r>
      <w:r w:rsidR="00FC5EFF">
        <w:rPr>
          <w:rFonts w:cs="Arial"/>
          <w:bCs/>
        </w:rPr>
        <w:t>6</w:t>
      </w:r>
      <w:r w:rsidR="00C966B6">
        <w:rPr>
          <w:rFonts w:cs="Arial"/>
          <w:bCs/>
        </w:rPr>
        <w:t>-1</w:t>
      </w:r>
      <w:r w:rsidR="00FC5EFF">
        <w:rPr>
          <w:rFonts w:cs="Arial"/>
          <w:bCs/>
        </w:rPr>
        <w:t>3</w:t>
      </w:r>
      <w:r w:rsidR="00C966B6">
        <w:rPr>
          <w:rFonts w:cs="Arial"/>
          <w:bCs/>
        </w:rPr>
        <w:t>-2023</w:t>
      </w:r>
      <w:r w:rsidRPr="004961B5">
        <w:rPr>
          <w:rFonts w:cs="Arial"/>
          <w:bCs/>
        </w:rPr>
        <w:t>)</w:t>
      </w:r>
    </w:p>
    <w:p w14:paraId="23CBE3BA" w14:textId="5FEC289D" w:rsidR="000A1DF9" w:rsidRDefault="000A1DF9" w:rsidP="00E73FB7">
      <w:pPr>
        <w:shd w:val="clear" w:color="auto" w:fill="FFFFFF"/>
        <w:rPr>
          <w:bCs/>
        </w:rPr>
      </w:pPr>
    </w:p>
    <w:p w14:paraId="71289B47" w14:textId="0A4F2C36" w:rsidR="0057758B" w:rsidRDefault="0057758B" w:rsidP="0057758B">
      <w:pPr>
        <w:tabs>
          <w:tab w:val="left" w:pos="-1440"/>
          <w:tab w:val="left" w:pos="-720"/>
          <w:tab w:val="left" w:pos="2880"/>
          <w:tab w:val="left" w:pos="3600"/>
          <w:tab w:val="left" w:pos="4320"/>
          <w:tab w:val="left" w:pos="5040"/>
          <w:tab w:val="left" w:pos="5760"/>
          <w:tab w:val="left" w:pos="6340"/>
          <w:tab w:val="left" w:pos="6480"/>
        </w:tabs>
        <w:suppressAutoHyphens/>
        <w:rPr>
          <w:rFonts w:cs="Arial"/>
        </w:rPr>
      </w:pPr>
      <w:r w:rsidRPr="0057758B">
        <w:rPr>
          <w:rFonts w:cs="Arial"/>
        </w:rPr>
        <w:t xml:space="preserve">The following changes are made to the Loan Agreement </w:t>
      </w:r>
      <w:r w:rsidR="00BA72BA">
        <w:rPr>
          <w:rFonts w:cs="Arial"/>
        </w:rPr>
        <w:t>that</w:t>
      </w:r>
      <w:r w:rsidR="00BA72BA" w:rsidRPr="0057758B">
        <w:rPr>
          <w:rFonts w:cs="Arial"/>
        </w:rPr>
        <w:t xml:space="preserve"> </w:t>
      </w:r>
      <w:r w:rsidRPr="0057758B">
        <w:rPr>
          <w:rFonts w:cs="Arial"/>
        </w:rPr>
        <w:t>precedes this Rider:</w:t>
      </w:r>
    </w:p>
    <w:p w14:paraId="46B492DB" w14:textId="1872B088" w:rsidR="00D63785" w:rsidRDefault="00D63785" w:rsidP="0057758B">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0D0A6512" w14:textId="1A5FD3AF" w:rsidR="00D63785" w:rsidRPr="0057758B" w:rsidRDefault="00D63785" w:rsidP="00D63785">
      <w:pPr>
        <w:ind w:left="720" w:hanging="720"/>
        <w:rPr>
          <w:rFonts w:cs="Arial"/>
        </w:rPr>
      </w:pPr>
      <w:r w:rsidRPr="0057758B">
        <w:rPr>
          <w:rFonts w:cs="Arial"/>
        </w:rPr>
        <w:t>A.</w:t>
      </w:r>
      <w:r w:rsidRPr="0057758B">
        <w:rPr>
          <w:rFonts w:cs="Arial"/>
        </w:rPr>
        <w:tab/>
      </w:r>
      <w:r>
        <w:rPr>
          <w:rFonts w:cs="Arial"/>
        </w:rPr>
        <w:t xml:space="preserve">The following table is added to </w:t>
      </w:r>
      <w:r w:rsidR="002E12F5">
        <w:rPr>
          <w:rFonts w:cs="Arial"/>
        </w:rPr>
        <w:t>Section </w:t>
      </w:r>
      <w:r w:rsidR="000563AA">
        <w:rPr>
          <w:rFonts w:cs="Arial"/>
        </w:rPr>
        <w:t>1.05</w:t>
      </w:r>
      <w:r w:rsidRPr="0057758B">
        <w:rPr>
          <w:rFonts w:cs="Arial"/>
        </w:rPr>
        <w:t>:</w:t>
      </w:r>
    </w:p>
    <w:p w14:paraId="02EB0423" w14:textId="77777777" w:rsidR="00D63785" w:rsidRPr="0057758B" w:rsidRDefault="00D63785" w:rsidP="0057758B">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769"/>
      </w:tblGrid>
      <w:tr w:rsidR="00D63785" w:rsidRPr="00785F72" w14:paraId="750B4E75" w14:textId="77777777" w:rsidTr="00A75A72">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60C6855" w14:textId="61AEBC73" w:rsidR="00D63785" w:rsidRPr="00D63785" w:rsidRDefault="00D63785" w:rsidP="00A75A72">
            <w:pPr>
              <w:spacing w:before="20" w:after="20"/>
              <w:rPr>
                <w:rFonts w:cs="Arial"/>
                <w:b/>
                <w:highlight w:val="yellow"/>
              </w:rPr>
            </w:pPr>
            <w:r w:rsidRPr="00D63785">
              <w:rPr>
                <w:rFonts w:cs="Arial"/>
                <w:b/>
              </w:rPr>
              <w:t>Cross-Collateralized Loans</w:t>
            </w:r>
          </w:p>
        </w:tc>
      </w:tr>
      <w:tr w:rsidR="00D63785" w:rsidRPr="00785F72" w14:paraId="2C6A8C2C" w14:textId="77777777" w:rsidTr="00A75A72">
        <w:tblPrEx>
          <w:tblLook w:val="0000" w:firstRow="0" w:lastRow="0" w:firstColumn="0" w:lastColumn="0" w:noHBand="0" w:noVBand="0"/>
        </w:tblPrEx>
        <w:trPr>
          <w:trHeight w:val="107"/>
        </w:trPr>
        <w:tc>
          <w:tcPr>
            <w:tcW w:w="10265" w:type="dxa"/>
            <w:gridSpan w:val="2"/>
            <w:tcBorders>
              <w:bottom w:val="nil"/>
            </w:tcBorders>
            <w:shd w:val="clear" w:color="auto" w:fill="auto"/>
          </w:tcPr>
          <w:p w14:paraId="72366917" w14:textId="2222145A" w:rsidR="00D63785" w:rsidRPr="00181FC7" w:rsidRDefault="009075CE" w:rsidP="00A75A72">
            <w:pPr>
              <w:spacing w:before="40" w:after="40"/>
              <w:rPr>
                <w:rFonts w:eastAsia="MS Gothic" w:cs="Arial"/>
              </w:rPr>
            </w:pPr>
            <w:r w:rsidRPr="00EB03BF">
              <w:rPr>
                <w:rFonts w:eastAsia="MS Gothic" w:cs="Arial"/>
                <w:b/>
                <w:bCs/>
              </w:rPr>
              <w:t>Additional Supplemental Financing Test for Cross-Collateralized Loans</w:t>
            </w:r>
            <w:r w:rsidR="00D63785" w:rsidRPr="00181FC7">
              <w:rPr>
                <w:rFonts w:eastAsia="MS Gothic" w:cs="Arial"/>
              </w:rPr>
              <w:t xml:space="preserve">: </w:t>
            </w:r>
            <w:r w:rsidR="00D63785" w:rsidRPr="00181FC7">
              <w:rPr>
                <w:rFonts w:eastAsia="MS Gothic" w:cs="Arial"/>
                <w:i/>
                <w:iCs/>
                <w:sz w:val="16"/>
                <w:szCs w:val="16"/>
              </w:rPr>
              <w:t>(select one)</w:t>
            </w:r>
          </w:p>
        </w:tc>
      </w:tr>
      <w:tr w:rsidR="00D63785" w:rsidRPr="00785F72" w14:paraId="127DB477" w14:textId="77777777" w:rsidTr="00D63785">
        <w:tblPrEx>
          <w:tblLook w:val="0000" w:firstRow="0" w:lastRow="0" w:firstColumn="0" w:lastColumn="0" w:noHBand="0" w:noVBand="0"/>
        </w:tblPrEx>
        <w:trPr>
          <w:trHeight w:val="350"/>
        </w:trPr>
        <w:tc>
          <w:tcPr>
            <w:tcW w:w="496" w:type="dxa"/>
            <w:tcBorders>
              <w:bottom w:val="nil"/>
            </w:tcBorders>
            <w:shd w:val="clear" w:color="auto" w:fill="auto"/>
            <w:vAlign w:val="center"/>
          </w:tcPr>
          <w:p w14:paraId="0E902E5B" w14:textId="77777777" w:rsidR="00D63785" w:rsidRPr="00181FC7" w:rsidRDefault="00C30FB8" w:rsidP="00A75A72">
            <w:pPr>
              <w:rPr>
                <w:rFonts w:eastAsia="MS Gothic" w:cs="Arial"/>
              </w:rPr>
            </w:pPr>
            <w:sdt>
              <w:sdtPr>
                <w:rPr>
                  <w:rFonts w:eastAsia="MS Gothic" w:cs="Arial"/>
                  <w:bCs/>
                  <w:sz w:val="28"/>
                  <w:szCs w:val="28"/>
                </w:rPr>
                <w:id w:val="-1775545658"/>
                <w14:checkbox>
                  <w14:checked w14:val="0"/>
                  <w14:checkedState w14:val="2612" w14:font="MS Gothic"/>
                  <w14:uncheckedState w14:val="2610" w14:font="MS Gothic"/>
                </w14:checkbox>
              </w:sdtPr>
              <w:sdtEndPr/>
              <w:sdtContent>
                <w:r w:rsidR="00D63785" w:rsidRPr="00181FC7">
                  <w:rPr>
                    <w:rFonts w:ascii="Segoe UI Symbol" w:eastAsia="MS Gothic" w:hAnsi="Segoe UI Symbol" w:cs="Segoe UI Symbol"/>
                    <w:bCs/>
                    <w:sz w:val="28"/>
                    <w:szCs w:val="28"/>
                  </w:rPr>
                  <w:t>☐</w:t>
                </w:r>
              </w:sdtContent>
            </w:sdt>
          </w:p>
        </w:tc>
        <w:tc>
          <w:tcPr>
            <w:tcW w:w="9769" w:type="dxa"/>
            <w:tcBorders>
              <w:bottom w:val="nil"/>
            </w:tcBorders>
            <w:shd w:val="clear" w:color="auto" w:fill="auto"/>
            <w:vAlign w:val="center"/>
          </w:tcPr>
          <w:p w14:paraId="4C4F1FA4" w14:textId="052BB15A" w:rsidR="00D63785" w:rsidRPr="00181FC7" w:rsidRDefault="009075CE" w:rsidP="00A75A72">
            <w:pPr>
              <w:rPr>
                <w:rFonts w:eastAsia="MS Gothic" w:cs="Arial"/>
              </w:rPr>
            </w:pPr>
            <w:r w:rsidRPr="00181FC7">
              <w:rPr>
                <w:rFonts w:eastAsia="MS Gothic" w:cs="Arial"/>
              </w:rPr>
              <w:t>Not applicable</w:t>
            </w:r>
          </w:p>
        </w:tc>
      </w:tr>
      <w:tr w:rsidR="00D63785" w:rsidRPr="00785F72" w14:paraId="02BF30B8" w14:textId="77777777" w:rsidTr="00181FC7">
        <w:tblPrEx>
          <w:tblLook w:val="0000" w:firstRow="0" w:lastRow="0" w:firstColumn="0" w:lastColumn="0" w:noHBand="0" w:noVBand="0"/>
        </w:tblPrEx>
        <w:trPr>
          <w:trHeight w:val="350"/>
        </w:trPr>
        <w:tc>
          <w:tcPr>
            <w:tcW w:w="496" w:type="dxa"/>
            <w:tcBorders>
              <w:bottom w:val="nil"/>
            </w:tcBorders>
            <w:shd w:val="clear" w:color="auto" w:fill="auto"/>
            <w:vAlign w:val="center"/>
          </w:tcPr>
          <w:p w14:paraId="7B81038E" w14:textId="77777777" w:rsidR="00D63785" w:rsidRPr="00181FC7" w:rsidRDefault="00C30FB8" w:rsidP="00A75A72">
            <w:pPr>
              <w:rPr>
                <w:rFonts w:eastAsia="MS Gothic" w:cs="Arial"/>
              </w:rPr>
            </w:pPr>
            <w:sdt>
              <w:sdtPr>
                <w:rPr>
                  <w:rFonts w:eastAsia="MS Gothic" w:cs="Arial"/>
                  <w:bCs/>
                  <w:sz w:val="28"/>
                  <w:szCs w:val="28"/>
                </w:rPr>
                <w:id w:val="172076969"/>
                <w14:checkbox>
                  <w14:checked w14:val="0"/>
                  <w14:checkedState w14:val="2612" w14:font="MS Gothic"/>
                  <w14:uncheckedState w14:val="2610" w14:font="MS Gothic"/>
                </w14:checkbox>
              </w:sdtPr>
              <w:sdtEndPr/>
              <w:sdtContent>
                <w:r w:rsidR="00D63785" w:rsidRPr="00181FC7">
                  <w:rPr>
                    <w:rFonts w:ascii="Segoe UI Symbol" w:eastAsia="MS Gothic" w:hAnsi="Segoe UI Symbol" w:cs="Segoe UI Symbol"/>
                    <w:bCs/>
                    <w:sz w:val="28"/>
                    <w:szCs w:val="28"/>
                  </w:rPr>
                  <w:t>☐</w:t>
                </w:r>
              </w:sdtContent>
            </w:sdt>
          </w:p>
        </w:tc>
        <w:tc>
          <w:tcPr>
            <w:tcW w:w="9769" w:type="dxa"/>
            <w:tcBorders>
              <w:bottom w:val="nil"/>
            </w:tcBorders>
            <w:shd w:val="clear" w:color="auto" w:fill="auto"/>
            <w:vAlign w:val="center"/>
          </w:tcPr>
          <w:p w14:paraId="1F7265FC" w14:textId="0A8CFE43" w:rsidR="00D63785" w:rsidRPr="00181FC7" w:rsidRDefault="00181FC7" w:rsidP="00A75A72">
            <w:pPr>
              <w:rPr>
                <w:rFonts w:eastAsia="MS Gothic" w:cs="Arial"/>
              </w:rPr>
            </w:pPr>
            <w:r w:rsidRPr="00181FC7">
              <w:rPr>
                <w:rFonts w:eastAsia="MS Gothic" w:cs="Arial"/>
              </w:rPr>
              <w:t>Required</w:t>
            </w:r>
          </w:p>
        </w:tc>
      </w:tr>
      <w:tr w:rsidR="00D63785" w:rsidRPr="00785F72" w14:paraId="7EB4223D" w14:textId="77777777" w:rsidTr="00181FC7">
        <w:tblPrEx>
          <w:tblLook w:val="0000" w:firstRow="0" w:lastRow="0" w:firstColumn="0" w:lastColumn="0" w:noHBand="0" w:noVBand="0"/>
        </w:tblPrEx>
        <w:trPr>
          <w:trHeight w:val="350"/>
        </w:trPr>
        <w:tc>
          <w:tcPr>
            <w:tcW w:w="496" w:type="dxa"/>
            <w:tcBorders>
              <w:top w:val="nil"/>
              <w:bottom w:val="nil"/>
            </w:tcBorders>
            <w:shd w:val="clear" w:color="auto" w:fill="auto"/>
            <w:vAlign w:val="center"/>
          </w:tcPr>
          <w:p w14:paraId="7BBCB0D9" w14:textId="738B2377" w:rsidR="00D63785" w:rsidRPr="00181FC7" w:rsidRDefault="00D63785" w:rsidP="00A75A72">
            <w:pPr>
              <w:rPr>
                <w:rFonts w:eastAsia="MS Gothic" w:cs="Arial"/>
              </w:rPr>
            </w:pPr>
          </w:p>
        </w:tc>
        <w:tc>
          <w:tcPr>
            <w:tcW w:w="9769" w:type="dxa"/>
            <w:tcBorders>
              <w:bottom w:val="nil"/>
            </w:tcBorders>
            <w:shd w:val="clear" w:color="auto" w:fill="auto"/>
            <w:vAlign w:val="center"/>
          </w:tcPr>
          <w:p w14:paraId="10D962E8" w14:textId="46723030" w:rsidR="00D63785" w:rsidRPr="00181FC7" w:rsidRDefault="00181FC7" w:rsidP="00A75A72">
            <w:pPr>
              <w:rPr>
                <w:rFonts w:eastAsia="MS Gothic" w:cs="Arial"/>
              </w:rPr>
            </w:pPr>
            <w:r w:rsidRPr="00181FC7">
              <w:rPr>
                <w:rFonts w:eastAsia="MS Gothic" w:cs="Arial"/>
                <w:b/>
                <w:bCs/>
              </w:rPr>
              <w:t>Maximum Aggregate Combined LTV</w:t>
            </w:r>
            <w:r w:rsidRPr="00181FC7">
              <w:rPr>
                <w:rFonts w:eastAsia="MS Gothic" w:cs="Arial"/>
              </w:rPr>
              <w:t>: ___%</w:t>
            </w:r>
            <w:r w:rsidR="00D63785" w:rsidRPr="00181FC7">
              <w:rPr>
                <w:rFonts w:eastAsia="MS Gothic" w:cs="Arial"/>
              </w:rPr>
              <w:t xml:space="preserve"> </w:t>
            </w:r>
          </w:p>
        </w:tc>
      </w:tr>
      <w:tr w:rsidR="00181FC7" w:rsidRPr="00785F72" w14:paraId="16E8E780" w14:textId="77777777" w:rsidTr="00181FC7">
        <w:tblPrEx>
          <w:tblLook w:val="0000" w:firstRow="0" w:lastRow="0" w:firstColumn="0" w:lastColumn="0" w:noHBand="0" w:noVBand="0"/>
        </w:tblPrEx>
        <w:trPr>
          <w:trHeight w:val="350"/>
        </w:trPr>
        <w:tc>
          <w:tcPr>
            <w:tcW w:w="496" w:type="dxa"/>
            <w:tcBorders>
              <w:top w:val="nil"/>
              <w:bottom w:val="nil"/>
            </w:tcBorders>
            <w:shd w:val="clear" w:color="auto" w:fill="auto"/>
            <w:vAlign w:val="center"/>
          </w:tcPr>
          <w:p w14:paraId="3931552D" w14:textId="77777777" w:rsidR="00181FC7" w:rsidRPr="00181FC7" w:rsidRDefault="00181FC7" w:rsidP="00A75A72">
            <w:pPr>
              <w:rPr>
                <w:rFonts w:eastAsia="MS Gothic" w:cs="Arial"/>
              </w:rPr>
            </w:pPr>
          </w:p>
        </w:tc>
        <w:tc>
          <w:tcPr>
            <w:tcW w:w="9769" w:type="dxa"/>
            <w:tcBorders>
              <w:bottom w:val="nil"/>
            </w:tcBorders>
            <w:shd w:val="clear" w:color="auto" w:fill="auto"/>
            <w:vAlign w:val="center"/>
          </w:tcPr>
          <w:p w14:paraId="349D7045" w14:textId="581C0456" w:rsidR="00181FC7" w:rsidRPr="00181FC7" w:rsidRDefault="00181FC7" w:rsidP="00A75A72">
            <w:pPr>
              <w:rPr>
                <w:rFonts w:eastAsia="MS Gothic" w:cs="Arial"/>
              </w:rPr>
            </w:pPr>
            <w:r w:rsidRPr="00181FC7">
              <w:rPr>
                <w:rFonts w:eastAsia="MS Gothic" w:cs="Arial"/>
                <w:b/>
                <w:bCs/>
              </w:rPr>
              <w:t>Minimum Aggregate DSCR</w:t>
            </w:r>
            <w:r w:rsidRPr="00181FC7">
              <w:rPr>
                <w:rFonts w:eastAsia="MS Gothic" w:cs="Arial"/>
              </w:rPr>
              <w:t>:</w:t>
            </w:r>
            <w:r w:rsidRPr="00181FC7">
              <w:rPr>
                <w:rFonts w:eastAsia="MS Gothic" w:cs="Arial"/>
                <w:b/>
                <w:bCs/>
              </w:rPr>
              <w:t xml:space="preserve"> </w:t>
            </w:r>
            <w:r w:rsidRPr="00181FC7">
              <w:rPr>
                <w:rFonts w:eastAsia="MS Gothic" w:cs="Arial"/>
              </w:rPr>
              <w:t>_____:1</w:t>
            </w:r>
          </w:p>
        </w:tc>
      </w:tr>
      <w:tr w:rsidR="00D63785" w:rsidRPr="00785F72" w14:paraId="577340C4" w14:textId="77777777" w:rsidTr="00A75A72">
        <w:tblPrEx>
          <w:tblLook w:val="0000" w:firstRow="0" w:lastRow="0" w:firstColumn="0" w:lastColumn="0" w:noHBand="0" w:noVBand="0"/>
        </w:tblPrEx>
        <w:trPr>
          <w:trHeight w:val="170"/>
        </w:trPr>
        <w:tc>
          <w:tcPr>
            <w:tcW w:w="10265" w:type="dxa"/>
            <w:gridSpan w:val="2"/>
            <w:vAlign w:val="center"/>
          </w:tcPr>
          <w:p w14:paraId="1C8C8FBF" w14:textId="45DF2C83" w:rsidR="00D63785" w:rsidRPr="00D63785" w:rsidRDefault="00D63785" w:rsidP="00A75A72">
            <w:pPr>
              <w:shd w:val="clear" w:color="auto" w:fill="FFFFFF"/>
              <w:ind w:left="259" w:hanging="259"/>
              <w:rPr>
                <w:rFonts w:eastAsia="MS Gothic" w:cs="Arial"/>
                <w:i/>
                <w:highlight w:val="yellow"/>
              </w:rPr>
            </w:pPr>
            <w:r w:rsidRPr="00EB03BF">
              <w:rPr>
                <w:rFonts w:eastAsia="MS Gothic" w:cs="Arial"/>
                <w:i/>
                <w:sz w:val="16"/>
                <w:szCs w:val="16"/>
              </w:rPr>
              <w:t xml:space="preserve">(See </w:t>
            </w:r>
            <w:r w:rsidR="002E12F5">
              <w:rPr>
                <w:rFonts w:eastAsia="MS Gothic" w:cs="Arial"/>
                <w:i/>
                <w:sz w:val="16"/>
                <w:szCs w:val="16"/>
              </w:rPr>
              <w:t>Section </w:t>
            </w:r>
            <w:r w:rsidR="00181FC7" w:rsidRPr="00EB03BF">
              <w:rPr>
                <w:rFonts w:eastAsia="MS Gothic" w:cs="Arial"/>
                <w:i/>
                <w:sz w:val="16"/>
                <w:szCs w:val="16"/>
              </w:rPr>
              <w:t>11</w:t>
            </w:r>
            <w:r w:rsidRPr="00EB03BF">
              <w:rPr>
                <w:rFonts w:eastAsia="MS Gothic" w:cs="Arial"/>
                <w:i/>
                <w:sz w:val="16"/>
                <w:szCs w:val="16"/>
              </w:rPr>
              <w:t>.</w:t>
            </w:r>
            <w:r w:rsidR="00181FC7" w:rsidRPr="00EB03BF">
              <w:rPr>
                <w:rFonts w:eastAsia="MS Gothic" w:cs="Arial"/>
                <w:i/>
                <w:sz w:val="16"/>
                <w:szCs w:val="16"/>
              </w:rPr>
              <w:t>11</w:t>
            </w:r>
            <w:r w:rsidRPr="00EB03BF">
              <w:rPr>
                <w:rFonts w:eastAsia="MS Gothic" w:cs="Arial"/>
                <w:i/>
                <w:sz w:val="16"/>
                <w:szCs w:val="16"/>
              </w:rPr>
              <w:t>)</w:t>
            </w:r>
          </w:p>
        </w:tc>
      </w:tr>
    </w:tbl>
    <w:p w14:paraId="4F774419" w14:textId="4AE8DC79" w:rsidR="00D63785" w:rsidRDefault="00D63785" w:rsidP="0057758B">
      <w:pPr>
        <w:ind w:left="720" w:hanging="720"/>
        <w:rPr>
          <w:rFonts w:cs="Arial"/>
        </w:rPr>
      </w:pPr>
    </w:p>
    <w:p w14:paraId="36229EB4" w14:textId="252C622F" w:rsidR="00BA1FAE" w:rsidRDefault="00BA1FAE" w:rsidP="00BA72BA">
      <w:pPr>
        <w:pStyle w:val="SmallLoanDocModReq"/>
        <w:ind w:left="720" w:hanging="720"/>
        <w:rPr>
          <w:rFonts w:ascii="Arial" w:hAnsi="Arial" w:cs="Arial"/>
          <w:sz w:val="20"/>
          <w:szCs w:val="16"/>
        </w:rPr>
      </w:pPr>
      <w:bookmarkStart w:id="0" w:name="_Hlk92713606"/>
      <w:r>
        <w:rPr>
          <w:rFonts w:ascii="Arial" w:hAnsi="Arial" w:cs="Arial"/>
          <w:sz w:val="20"/>
          <w:szCs w:val="16"/>
        </w:rPr>
        <w:t>B.</w:t>
      </w:r>
      <w:r>
        <w:rPr>
          <w:rFonts w:ascii="Arial" w:hAnsi="Arial" w:cs="Arial"/>
          <w:sz w:val="20"/>
          <w:szCs w:val="16"/>
        </w:rPr>
        <w:tab/>
        <w:t xml:space="preserve">Section 2.12 is deleted and replaced with the following: </w:t>
      </w:r>
    </w:p>
    <w:p w14:paraId="32BF5E65" w14:textId="729520CE" w:rsidR="00BA1FAE" w:rsidRDefault="00BA1FAE" w:rsidP="00BA72BA">
      <w:pPr>
        <w:pStyle w:val="SmallLoanDocModReq"/>
        <w:ind w:left="720" w:hanging="720"/>
        <w:rPr>
          <w:rFonts w:ascii="Arial" w:hAnsi="Arial" w:cs="Arial"/>
          <w:sz w:val="20"/>
          <w:szCs w:val="16"/>
        </w:rPr>
      </w:pPr>
    </w:p>
    <w:p w14:paraId="5E18700D" w14:textId="3F2C3364" w:rsidR="00BA1FAE" w:rsidRDefault="00BA1FAE" w:rsidP="00C54D77">
      <w:pPr>
        <w:pStyle w:val="SmallLoanDocModReq"/>
        <w:ind w:left="1440" w:hanging="720"/>
        <w:rPr>
          <w:rFonts w:ascii="Arial" w:hAnsi="Arial" w:cs="Arial"/>
          <w:sz w:val="20"/>
          <w:szCs w:val="16"/>
        </w:rPr>
      </w:pPr>
      <w:r w:rsidRPr="00C54D77">
        <w:rPr>
          <w:rFonts w:ascii="Arial" w:hAnsi="Arial" w:cs="Arial"/>
          <w:b/>
          <w:bCs w:val="0"/>
          <w:sz w:val="20"/>
          <w:szCs w:val="16"/>
        </w:rPr>
        <w:t>2.12</w:t>
      </w:r>
      <w:r>
        <w:rPr>
          <w:rFonts w:ascii="Arial" w:hAnsi="Arial" w:cs="Arial"/>
          <w:sz w:val="20"/>
          <w:szCs w:val="16"/>
        </w:rPr>
        <w:tab/>
      </w:r>
      <w:r w:rsidRPr="00C54D77">
        <w:rPr>
          <w:rFonts w:ascii="Arial" w:hAnsi="Arial" w:cs="Arial"/>
          <w:b/>
          <w:bCs w:val="0"/>
          <w:sz w:val="20"/>
          <w:szCs w:val="16"/>
        </w:rPr>
        <w:t>Cross-Collateralized Loans.</w:t>
      </w:r>
      <w:r>
        <w:rPr>
          <w:rFonts w:ascii="Arial" w:hAnsi="Arial" w:cs="Arial"/>
          <w:sz w:val="20"/>
          <w:szCs w:val="16"/>
        </w:rPr>
        <w:t xml:space="preserve"> </w:t>
      </w:r>
      <w:r w:rsidRPr="00C54D77">
        <w:rPr>
          <w:rFonts w:ascii="Arial" w:hAnsi="Arial" w:cs="Arial"/>
          <w:sz w:val="20"/>
        </w:rPr>
        <w:t>The Indebtedness is secured by</w:t>
      </w:r>
      <w:r>
        <w:rPr>
          <w:rFonts w:ascii="Arial" w:hAnsi="Arial" w:cs="Arial"/>
          <w:sz w:val="20"/>
        </w:rPr>
        <w:t>, among other things</w:t>
      </w:r>
      <w:r w:rsidR="00B23EC4">
        <w:rPr>
          <w:rFonts w:ascii="Arial" w:hAnsi="Arial" w:cs="Arial"/>
          <w:sz w:val="20"/>
        </w:rPr>
        <w:t xml:space="preserve">, </w:t>
      </w:r>
      <w:r>
        <w:rPr>
          <w:rFonts w:ascii="Arial" w:hAnsi="Arial" w:cs="Arial"/>
          <w:sz w:val="20"/>
        </w:rPr>
        <w:t>the Security Instrument</w:t>
      </w:r>
      <w:r w:rsidR="00B23EC4">
        <w:rPr>
          <w:rFonts w:ascii="Arial" w:hAnsi="Arial" w:cs="Arial"/>
          <w:sz w:val="20"/>
        </w:rPr>
        <w:t xml:space="preserve"> and</w:t>
      </w:r>
      <w:r>
        <w:rPr>
          <w:rFonts w:ascii="Arial" w:hAnsi="Arial" w:cs="Arial"/>
          <w:sz w:val="20"/>
        </w:rPr>
        <w:t xml:space="preserve"> the Related Security Instruments</w:t>
      </w:r>
      <w:r w:rsidR="00B23EC4">
        <w:rPr>
          <w:rFonts w:ascii="Arial" w:hAnsi="Arial" w:cs="Arial"/>
          <w:sz w:val="20"/>
        </w:rPr>
        <w:t xml:space="preserve"> and r</w:t>
      </w:r>
      <w:r>
        <w:rPr>
          <w:rFonts w:ascii="Arial" w:hAnsi="Arial" w:cs="Arial"/>
          <w:sz w:val="20"/>
        </w:rPr>
        <w:t xml:space="preserve">eference </w:t>
      </w:r>
      <w:r w:rsidRPr="00C54D77">
        <w:rPr>
          <w:rFonts w:ascii="Arial" w:hAnsi="Arial" w:cs="Arial"/>
          <w:sz w:val="20"/>
        </w:rPr>
        <w:t>is made to the Security Instrument, the Related Security Instruments, the Cross-Collateralization Agreement</w:t>
      </w:r>
      <w:r w:rsidR="00B73895">
        <w:rPr>
          <w:rFonts w:ascii="Arial" w:hAnsi="Arial" w:cs="Arial"/>
          <w:sz w:val="20"/>
        </w:rPr>
        <w:t>, this Loan Agreement</w:t>
      </w:r>
      <w:r w:rsidR="00417DE3">
        <w:rPr>
          <w:rFonts w:ascii="Arial" w:hAnsi="Arial" w:cs="Arial"/>
          <w:sz w:val="20"/>
        </w:rPr>
        <w:t xml:space="preserve"> and</w:t>
      </w:r>
      <w:r w:rsidRPr="00C54D77">
        <w:rPr>
          <w:rFonts w:ascii="Arial" w:hAnsi="Arial" w:cs="Arial"/>
          <w:sz w:val="20"/>
        </w:rPr>
        <w:t xml:space="preserve"> the Related Loan Agreements for other rights with respect to the collateral for the Indebtedness.</w:t>
      </w:r>
    </w:p>
    <w:p w14:paraId="54F82F7E" w14:textId="77777777" w:rsidR="00BA1FAE" w:rsidRDefault="00BA1FAE" w:rsidP="00BA72BA">
      <w:pPr>
        <w:pStyle w:val="SmallLoanDocModReq"/>
        <w:ind w:left="720" w:hanging="720"/>
        <w:rPr>
          <w:rFonts w:ascii="Arial" w:hAnsi="Arial" w:cs="Arial"/>
          <w:sz w:val="20"/>
          <w:szCs w:val="16"/>
        </w:rPr>
      </w:pPr>
    </w:p>
    <w:p w14:paraId="17B8B5D7" w14:textId="59B1A69A" w:rsidR="00BA72BA" w:rsidRPr="0017157E" w:rsidRDefault="00BF5E83" w:rsidP="00BA72BA">
      <w:pPr>
        <w:pStyle w:val="SmallLoanDocModReq"/>
        <w:ind w:left="720" w:hanging="720"/>
        <w:rPr>
          <w:rFonts w:ascii="Arial" w:hAnsi="Arial" w:cs="Arial"/>
          <w:sz w:val="20"/>
          <w:szCs w:val="16"/>
        </w:rPr>
      </w:pPr>
      <w:r>
        <w:rPr>
          <w:rFonts w:ascii="Arial" w:hAnsi="Arial" w:cs="Arial"/>
          <w:sz w:val="20"/>
          <w:szCs w:val="16"/>
        </w:rPr>
        <w:t>C</w:t>
      </w:r>
      <w:r w:rsidR="00BA72BA" w:rsidRPr="0017157E">
        <w:rPr>
          <w:rFonts w:ascii="Arial" w:hAnsi="Arial" w:cs="Arial"/>
          <w:sz w:val="20"/>
          <w:szCs w:val="16"/>
        </w:rPr>
        <w:t>.</w:t>
      </w:r>
      <w:r w:rsidR="00BA72BA" w:rsidRPr="0017157E">
        <w:rPr>
          <w:rFonts w:ascii="Arial" w:hAnsi="Arial" w:cs="Arial"/>
          <w:sz w:val="20"/>
          <w:szCs w:val="16"/>
        </w:rPr>
        <w:tab/>
      </w:r>
      <w:r w:rsidR="002E12F5">
        <w:rPr>
          <w:rFonts w:ascii="Arial" w:hAnsi="Arial" w:cs="Arial"/>
          <w:sz w:val="20"/>
          <w:szCs w:val="16"/>
        </w:rPr>
        <w:t>Section </w:t>
      </w:r>
      <w:r w:rsidR="00BA72BA" w:rsidRPr="0017157E">
        <w:rPr>
          <w:rFonts w:ascii="Arial" w:hAnsi="Arial" w:cs="Arial"/>
          <w:sz w:val="20"/>
          <w:szCs w:val="16"/>
        </w:rPr>
        <w:t xml:space="preserve">3.03(k) is deleted and replaced with the following: </w:t>
      </w:r>
    </w:p>
    <w:p w14:paraId="2424C6E2" w14:textId="77777777" w:rsidR="00BA72BA" w:rsidRPr="0017157E" w:rsidRDefault="00BA72BA" w:rsidP="00BA72BA">
      <w:pPr>
        <w:pStyle w:val="FRECommERLAStyle"/>
        <w:ind w:left="2160" w:hanging="720"/>
        <w:rPr>
          <w:rFonts w:ascii="Arial" w:hAnsi="Arial" w:cs="Arial"/>
          <w:sz w:val="20"/>
          <w:szCs w:val="16"/>
        </w:rPr>
      </w:pPr>
    </w:p>
    <w:p w14:paraId="31EE9469" w14:textId="0F51412F" w:rsidR="00BA72BA" w:rsidRPr="0017157E" w:rsidRDefault="00BA72BA" w:rsidP="00BA72BA">
      <w:pPr>
        <w:pStyle w:val="FRECommERLAStyle"/>
        <w:ind w:left="1440" w:right="720" w:hanging="630"/>
        <w:rPr>
          <w:rFonts w:ascii="Arial" w:hAnsi="Arial" w:cs="Arial"/>
          <w:sz w:val="20"/>
          <w:szCs w:val="16"/>
        </w:rPr>
      </w:pPr>
      <w:r w:rsidRPr="0017157E">
        <w:rPr>
          <w:rFonts w:ascii="Arial" w:hAnsi="Arial" w:cs="Arial"/>
          <w:sz w:val="20"/>
          <w:szCs w:val="16"/>
        </w:rPr>
        <w:t xml:space="preserve">(k) </w:t>
      </w:r>
      <w:r w:rsidRPr="0017157E">
        <w:rPr>
          <w:rFonts w:ascii="Arial" w:hAnsi="Arial" w:cs="Arial"/>
          <w:sz w:val="20"/>
          <w:szCs w:val="16"/>
        </w:rPr>
        <w:tab/>
        <w:t xml:space="preserve">The avoidance, in whole or in part, of the transfer creating the </w:t>
      </w:r>
      <w:r w:rsidR="002D2C85">
        <w:rPr>
          <w:rFonts w:ascii="Arial" w:hAnsi="Arial" w:cs="Arial"/>
          <w:sz w:val="20"/>
          <w:szCs w:val="16"/>
        </w:rPr>
        <w:t>L</w:t>
      </w:r>
      <w:r w:rsidR="002D2C85" w:rsidRPr="0017157E">
        <w:rPr>
          <w:rFonts w:ascii="Arial" w:hAnsi="Arial" w:cs="Arial"/>
          <w:sz w:val="20"/>
          <w:szCs w:val="16"/>
        </w:rPr>
        <w:t xml:space="preserve">ien </w:t>
      </w:r>
      <w:r w:rsidRPr="0017157E">
        <w:rPr>
          <w:rFonts w:ascii="Arial" w:hAnsi="Arial" w:cs="Arial"/>
          <w:sz w:val="20"/>
          <w:szCs w:val="16"/>
        </w:rPr>
        <w:t>of the Security Instrument, or a court order providing an alternative remedy to that avoidance, because of the occurrence on or before the date that the Security Instrument was recorded of a fraudulent transfer or a preference under federal bankruptcy, state insolvency, or similar creditors’ rights laws.</w:t>
      </w:r>
    </w:p>
    <w:bookmarkEnd w:id="0"/>
    <w:p w14:paraId="15A27FC5" w14:textId="6F31CF0A" w:rsidR="00D63785" w:rsidRDefault="00D63785" w:rsidP="0057758B">
      <w:pPr>
        <w:ind w:left="720" w:hanging="720"/>
        <w:rPr>
          <w:rFonts w:cs="Arial"/>
        </w:rPr>
      </w:pPr>
    </w:p>
    <w:p w14:paraId="6B91464C" w14:textId="3999FD20" w:rsidR="0057758B" w:rsidRPr="0057758B" w:rsidRDefault="00BF5E83" w:rsidP="0057758B">
      <w:pPr>
        <w:ind w:left="720" w:hanging="720"/>
        <w:rPr>
          <w:rFonts w:cs="Arial"/>
        </w:rPr>
      </w:pPr>
      <w:r>
        <w:rPr>
          <w:rFonts w:cs="Arial"/>
        </w:rPr>
        <w:t>D</w:t>
      </w:r>
      <w:r w:rsidR="0057758B" w:rsidRPr="0057758B">
        <w:rPr>
          <w:rFonts w:cs="Arial"/>
        </w:rPr>
        <w:t>.</w:t>
      </w:r>
      <w:r w:rsidR="0057758B" w:rsidRPr="0057758B">
        <w:rPr>
          <w:rFonts w:cs="Arial"/>
        </w:rPr>
        <w:tab/>
      </w:r>
      <w:r w:rsidR="002E12F5">
        <w:rPr>
          <w:rFonts w:cs="Arial"/>
        </w:rPr>
        <w:t>Section </w:t>
      </w:r>
      <w:r w:rsidR="0057758B" w:rsidRPr="0057758B">
        <w:rPr>
          <w:rFonts w:eastAsia="Calibri" w:cs="Arial"/>
          <w:color w:val="000000"/>
        </w:rPr>
        <w:t xml:space="preserve">6.11(e) is </w:t>
      </w:r>
      <w:r w:rsidR="0057758B" w:rsidRPr="0057758B">
        <w:rPr>
          <w:rFonts w:cs="Arial"/>
        </w:rPr>
        <w:t>deleted and replaced with the following:</w:t>
      </w:r>
    </w:p>
    <w:p w14:paraId="3F42C6CC" w14:textId="77777777" w:rsidR="0057758B" w:rsidRPr="0057758B" w:rsidRDefault="0057758B" w:rsidP="0057758B">
      <w:pPr>
        <w:ind w:left="720" w:hanging="720"/>
        <w:rPr>
          <w:rFonts w:cs="Arial"/>
        </w:rPr>
      </w:pPr>
    </w:p>
    <w:p w14:paraId="7FD15D3E" w14:textId="3E7719E0" w:rsidR="0057758B" w:rsidRPr="0057758B" w:rsidRDefault="0057758B" w:rsidP="0057758B">
      <w:pPr>
        <w:ind w:left="1440" w:hanging="691"/>
        <w:rPr>
          <w:rFonts w:cs="Arial"/>
        </w:rPr>
      </w:pPr>
      <w:r w:rsidRPr="0057758B">
        <w:rPr>
          <w:rFonts w:cs="Arial"/>
          <w:bCs/>
        </w:rPr>
        <w:t>(e)</w:t>
      </w:r>
      <w:r w:rsidRPr="0057758B">
        <w:rPr>
          <w:rFonts w:cs="Arial"/>
        </w:rPr>
        <w:tab/>
      </w:r>
      <w:r w:rsidRPr="0057758B">
        <w:rPr>
          <w:rFonts w:cs="Arial"/>
          <w:u w:val="single"/>
        </w:rPr>
        <w:t>Right to Apply Condemnation Proceeds in Connection with a Partial Release</w:t>
      </w:r>
      <w:r w:rsidRPr="0057758B">
        <w:rPr>
          <w:rFonts w:cs="Arial"/>
        </w:rPr>
        <w:t xml:space="preserve">. Notwithstanding anything to the contrary set forth in this Loan Agreement, including this </w:t>
      </w:r>
      <w:r w:rsidR="002E12F5">
        <w:rPr>
          <w:rFonts w:cs="Arial"/>
        </w:rPr>
        <w:t>Section </w:t>
      </w:r>
      <w:r w:rsidRPr="0057758B">
        <w:rPr>
          <w:rFonts w:cs="Arial"/>
        </w:rPr>
        <w:t>6.11, for so long as the Loan or any portion of the Loan is included in a Securitization in which the Note is assigned to a REMIC trust, then each of the following will apply:</w:t>
      </w:r>
    </w:p>
    <w:p w14:paraId="1DF30B43" w14:textId="77777777" w:rsidR="0057758B" w:rsidRPr="0057758B" w:rsidRDefault="0057758B" w:rsidP="0057758B">
      <w:pPr>
        <w:ind w:left="720" w:hanging="720"/>
        <w:rPr>
          <w:rFonts w:cs="Arial"/>
        </w:rPr>
      </w:pPr>
    </w:p>
    <w:p w14:paraId="1003C702" w14:textId="77777777" w:rsidR="0057758B" w:rsidRPr="0057758B" w:rsidRDefault="0057758B" w:rsidP="0057758B">
      <w:pPr>
        <w:ind w:left="2160" w:hanging="720"/>
        <w:rPr>
          <w:rFonts w:cs="Arial"/>
        </w:rPr>
      </w:pPr>
      <w:r w:rsidRPr="0057758B">
        <w:rPr>
          <w:rFonts w:cs="Arial"/>
        </w:rPr>
        <w:t>(i)</w:t>
      </w:r>
      <w:r w:rsidRPr="0057758B">
        <w:rPr>
          <w:rFonts w:cs="Arial"/>
        </w:rPr>
        <w:tab/>
        <w:t>If any portion of the</w:t>
      </w:r>
      <w:r w:rsidRPr="0057758B">
        <w:rPr>
          <w:rFonts w:cs="Arial"/>
          <w:b/>
        </w:rPr>
        <w:t xml:space="preserve"> </w:t>
      </w:r>
      <w:r w:rsidRPr="0057758B">
        <w:rPr>
          <w:rFonts w:cs="Arial"/>
        </w:rPr>
        <w:t>Mortgaged Property and/or any Related Mortgaged Property is released from the Lien of the Loan in connection with a Condemnation and if the ratio of (A) the unpaid principal balance of the Loan</w:t>
      </w:r>
      <w:r w:rsidRPr="0057758B">
        <w:rPr>
          <w:rFonts w:cs="Arial"/>
          <w:b/>
        </w:rPr>
        <w:t xml:space="preserve"> </w:t>
      </w:r>
      <w:r w:rsidRPr="0057758B">
        <w:rPr>
          <w:rFonts w:cs="Arial"/>
        </w:rPr>
        <w:t>and any Related Loans (as defined in the Cross-Collateralization Agreement) to (B) the value of the Mortgaged Property</w:t>
      </w:r>
      <w:r w:rsidRPr="0057758B">
        <w:rPr>
          <w:rFonts w:cs="Arial"/>
          <w:b/>
        </w:rPr>
        <w:t xml:space="preserve"> </w:t>
      </w:r>
      <w:r w:rsidRPr="0057758B">
        <w:rPr>
          <w:rFonts w:cs="Arial"/>
        </w:rPr>
        <w:t xml:space="preserve">and the Related Mortgaged Properties (with the value of the Mortgaged Property and the Related Mortgaged Properties first being reduced by the outstanding principal balance of any Senior Indebtedness with respect to either the Mortgaged Property or the Related Mortgaged Properties and the outstanding principal balance of any indebtedness secured by the Mortgaged Property or the Related Mortgaged Properties that is at the same level of priority with the Indebtedness and taking into account only the related land and buildings and not any personal property or going-concern value), as determined by Lender in its sole and absolute discretion based on a commercially reasonable valuation method permitted in connection with a Securitization, is greater than 125% immediately after such Condemnation and before any Restoration or repair of the Mortgaged Property </w:t>
      </w:r>
      <w:r w:rsidRPr="0057758B">
        <w:rPr>
          <w:rFonts w:cs="Arial"/>
        </w:rPr>
        <w:lastRenderedPageBreak/>
        <w:t>(but taking into account any planned Restoration or repair of the Mortgaged Property as if such planned Restoration or repair were completed), then Lender will apply any net proceeds or awards from such Condemnation, in full, to the payment of the principal of the Indebtedness</w:t>
      </w:r>
      <w:r w:rsidRPr="0057758B">
        <w:rPr>
          <w:rFonts w:cs="Arial"/>
          <w:b/>
        </w:rPr>
        <w:t xml:space="preserve"> </w:t>
      </w:r>
      <w:r w:rsidRPr="0057758B">
        <w:rPr>
          <w:rFonts w:cs="Arial"/>
        </w:rPr>
        <w:t>and/or any other portion of the Total Indebtedness as determined by Lender and in accordance with applicable REMIC law whether or not then due and payable, unless Lender has received an opinion of counsel (acceptable to Lender if such opinion is provided by Borrower) that a different application of the net proceeds or awards will not cause such Securitization to fail to meet applicable federal income tax qualification requirements or subject such Securitization to any tax, and the net proceeds or awards are applied in the manner specified in such opinion.</w:t>
      </w:r>
    </w:p>
    <w:p w14:paraId="7BF65E02" w14:textId="77777777" w:rsidR="0057758B" w:rsidRPr="0057758B" w:rsidRDefault="0057758B" w:rsidP="0057758B">
      <w:pPr>
        <w:ind w:left="1440" w:hanging="720"/>
        <w:rPr>
          <w:rFonts w:cs="Arial"/>
        </w:rPr>
      </w:pPr>
    </w:p>
    <w:p w14:paraId="35815B1A" w14:textId="7DFC98F6" w:rsidR="0057758B" w:rsidRPr="0057758B" w:rsidRDefault="0057758B" w:rsidP="0057758B">
      <w:pPr>
        <w:ind w:left="2160" w:hanging="720"/>
        <w:rPr>
          <w:rFonts w:cs="Arial"/>
        </w:rPr>
      </w:pPr>
      <w:r w:rsidRPr="0057758B">
        <w:rPr>
          <w:rFonts w:cs="Arial"/>
        </w:rPr>
        <w:t>(ii)</w:t>
      </w:r>
      <w:r w:rsidRPr="0057758B">
        <w:rPr>
          <w:rFonts w:cs="Arial"/>
        </w:rPr>
        <w:tab/>
        <w:t xml:space="preserve">If (A) neither Borrower nor Lender has the right to receive any or all net proceeds or awards as a result of the provisions of any agreement affecting the Mortgaged Property (including any Ground Lease (if applicable), condominium document, or reciprocal easement agreement) and therefore cannot apply the net proceeds or awards to the payment of the principal of the Indebtedness as set forth above, or (B) Borrower receives any or all of the proceeds or awards described in </w:t>
      </w:r>
      <w:r w:rsidR="002E12F5">
        <w:rPr>
          <w:rFonts w:cs="Arial"/>
        </w:rPr>
        <w:t>Section </w:t>
      </w:r>
      <w:r w:rsidRPr="0057758B">
        <w:rPr>
          <w:rFonts w:cs="Arial"/>
        </w:rPr>
        <w:t xml:space="preserve">6.11(e)(ii)(A) and fails to apply the proceeds in accordance with </w:t>
      </w:r>
      <w:r w:rsidR="002E12F5">
        <w:rPr>
          <w:rFonts w:cs="Arial"/>
        </w:rPr>
        <w:t>Section </w:t>
      </w:r>
      <w:r w:rsidRPr="0057758B">
        <w:rPr>
          <w:rFonts w:cs="Arial"/>
        </w:rPr>
        <w:t>6.11(e)(i), then Borrower will prepay the Indebtedness</w:t>
      </w:r>
      <w:r w:rsidRPr="0057758B">
        <w:rPr>
          <w:rFonts w:cs="Arial"/>
          <w:b/>
        </w:rPr>
        <w:t xml:space="preserve"> </w:t>
      </w:r>
      <w:r w:rsidRPr="0057758B">
        <w:rPr>
          <w:rFonts w:cs="Arial"/>
        </w:rPr>
        <w:t xml:space="preserve">and/or any other portion of the Total Indebtedness (as determined by Lender and in accordance with applicable REMIC law) in an amount </w:t>
      </w:r>
      <w:r w:rsidRPr="0057758B">
        <w:rPr>
          <w:rFonts w:cs="Arial"/>
          <w:bCs/>
        </w:rPr>
        <w:t xml:space="preserve">which Lender, in its sole and absolute discretion, deems </w:t>
      </w:r>
      <w:r w:rsidRPr="0057758B">
        <w:rPr>
          <w:rFonts w:cs="Arial"/>
        </w:rPr>
        <w:t>necessary to ensure that the Securitization will not fail to meet applicable federal income tax qualification requirements or be subject to any tax as a result of the Condemnation, unless Lender has received an opinion of counsel (acceptable to Lender if such opinion is provided by Borrower) that a different application of the net proceeds or awards will not cause such Securitization to fail to meet applicable federal income tax qualification requirements or subject such Securitization to any tax, and the net proceeds or awards are applied in the manner specified in such opinion.</w:t>
      </w:r>
    </w:p>
    <w:p w14:paraId="17D1FC39" w14:textId="77777777" w:rsidR="009075CE" w:rsidRPr="0057758B" w:rsidRDefault="009075CE" w:rsidP="0057758B">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0CA44B2C" w14:textId="63908F5C" w:rsidR="00C44518" w:rsidRDefault="00BF5E83" w:rsidP="000B004F">
      <w:pPr>
        <w:pStyle w:val="BodyTextIndent"/>
        <w:spacing w:after="0"/>
        <w:ind w:left="720" w:hanging="720"/>
        <w:rPr>
          <w:rFonts w:cs="Arial"/>
        </w:rPr>
      </w:pPr>
      <w:r>
        <w:rPr>
          <w:rFonts w:cs="Arial"/>
        </w:rPr>
        <w:t>E</w:t>
      </w:r>
      <w:r w:rsidR="0057758B" w:rsidRPr="0057758B">
        <w:rPr>
          <w:rFonts w:cs="Arial"/>
        </w:rPr>
        <w:t>.</w:t>
      </w:r>
      <w:r w:rsidR="0057758B" w:rsidRPr="0057758B">
        <w:rPr>
          <w:rFonts w:cs="Arial"/>
        </w:rPr>
        <w:tab/>
      </w:r>
      <w:r w:rsidR="00C44518" w:rsidRPr="00C44518">
        <w:rPr>
          <w:rFonts w:cs="Arial"/>
          <w:b/>
          <w:bCs/>
          <w:i/>
          <w:iCs/>
        </w:rPr>
        <w:t>If Borrower is a Single Asset Entity,</w:t>
      </w:r>
      <w:r w:rsidR="00C44518">
        <w:rPr>
          <w:rFonts w:cs="Arial"/>
        </w:rPr>
        <w:t xml:space="preserve"> then the changes to </w:t>
      </w:r>
      <w:r w:rsidR="002E12F5">
        <w:rPr>
          <w:rFonts w:cs="Arial"/>
        </w:rPr>
        <w:t>Section </w:t>
      </w:r>
      <w:r w:rsidR="00C44518">
        <w:rPr>
          <w:rFonts w:cs="Arial"/>
        </w:rPr>
        <w:t>6.13(a)(x)(D) and 6.13(a)(xiv)</w:t>
      </w:r>
      <w:r w:rsidR="00173F20">
        <w:rPr>
          <w:rFonts w:cs="Arial"/>
        </w:rPr>
        <w:t>(C)</w:t>
      </w:r>
      <w:r w:rsidR="00C44518">
        <w:rPr>
          <w:rFonts w:cs="Arial"/>
        </w:rPr>
        <w:t xml:space="preserve"> </w:t>
      </w:r>
      <w:r w:rsidR="00B9092E">
        <w:rPr>
          <w:rFonts w:cs="Arial"/>
        </w:rPr>
        <w:t xml:space="preserve">described in </w:t>
      </w:r>
      <w:r w:rsidR="002E12F5">
        <w:rPr>
          <w:rFonts w:cs="Arial"/>
        </w:rPr>
        <w:t>Paragraph </w:t>
      </w:r>
      <w:r w:rsidR="00BA72BA">
        <w:rPr>
          <w:rFonts w:cs="Arial"/>
        </w:rPr>
        <w:t xml:space="preserve">E </w:t>
      </w:r>
      <w:r w:rsidR="00B9092E">
        <w:rPr>
          <w:rFonts w:cs="Arial"/>
        </w:rPr>
        <w:t xml:space="preserve">of this Rider are not applicable, and </w:t>
      </w:r>
      <w:r w:rsidR="002E12F5">
        <w:rPr>
          <w:rFonts w:cs="Arial"/>
        </w:rPr>
        <w:t>Paragraph </w:t>
      </w:r>
      <w:r w:rsidR="00BA72BA">
        <w:rPr>
          <w:rFonts w:cs="Arial"/>
        </w:rPr>
        <w:t xml:space="preserve">E </w:t>
      </w:r>
      <w:r w:rsidR="00B9092E">
        <w:rPr>
          <w:rFonts w:cs="Arial"/>
        </w:rPr>
        <w:t>is deemed “Reserved”</w:t>
      </w:r>
      <w:r w:rsidR="00C44518">
        <w:rPr>
          <w:rFonts w:cs="Arial"/>
        </w:rPr>
        <w:t>.</w:t>
      </w:r>
    </w:p>
    <w:p w14:paraId="37BF8C5D" w14:textId="6DC5E2AF" w:rsidR="00B9092E" w:rsidRDefault="00B9092E" w:rsidP="00B9092E">
      <w:pPr>
        <w:pStyle w:val="BodyTextIndent"/>
        <w:spacing w:after="0"/>
        <w:ind w:left="720" w:hanging="360"/>
        <w:rPr>
          <w:rFonts w:cs="Arial"/>
        </w:rPr>
      </w:pPr>
    </w:p>
    <w:p w14:paraId="1B02A7D4" w14:textId="3BD8BB5A" w:rsidR="00B9092E" w:rsidRDefault="00BF5E83" w:rsidP="000B004F">
      <w:pPr>
        <w:pStyle w:val="BodyTextIndent"/>
        <w:ind w:left="720" w:hanging="720"/>
        <w:rPr>
          <w:rFonts w:cs="Arial"/>
        </w:rPr>
      </w:pPr>
      <w:r>
        <w:rPr>
          <w:rFonts w:cs="Arial"/>
        </w:rPr>
        <w:t>F</w:t>
      </w:r>
      <w:r w:rsidR="00C44518">
        <w:rPr>
          <w:rFonts w:cs="Arial"/>
        </w:rPr>
        <w:t>.</w:t>
      </w:r>
      <w:r w:rsidR="00C44518">
        <w:rPr>
          <w:rFonts w:cs="Arial"/>
        </w:rPr>
        <w:tab/>
      </w:r>
      <w:r w:rsidR="00C44518" w:rsidRPr="00C44518">
        <w:rPr>
          <w:rFonts w:cs="Arial"/>
          <w:b/>
          <w:bCs/>
          <w:i/>
          <w:iCs/>
        </w:rPr>
        <w:t>If Borrower is a Single Purpose Entity</w:t>
      </w:r>
      <w:r w:rsidR="00C44518">
        <w:rPr>
          <w:rFonts w:cs="Arial"/>
        </w:rPr>
        <w:t>, then</w:t>
      </w:r>
      <w:r w:rsidR="00B9092E">
        <w:rPr>
          <w:rFonts w:cs="Arial"/>
        </w:rPr>
        <w:t xml:space="preserve"> each of the following apply</w:t>
      </w:r>
      <w:r w:rsidR="004435F1">
        <w:rPr>
          <w:rFonts w:cs="Arial"/>
        </w:rPr>
        <w:t xml:space="preserve">, and each of the following </w:t>
      </w:r>
      <w:r w:rsidR="004435F1" w:rsidRPr="00B9092E">
        <w:rPr>
          <w:rFonts w:cs="Arial"/>
        </w:rPr>
        <w:t>modification</w:t>
      </w:r>
      <w:r w:rsidR="004435F1">
        <w:rPr>
          <w:rFonts w:cs="Arial"/>
        </w:rPr>
        <w:t>s</w:t>
      </w:r>
      <w:r w:rsidR="004435F1" w:rsidRPr="00B9092E">
        <w:rPr>
          <w:rFonts w:cs="Arial"/>
        </w:rPr>
        <w:t xml:space="preserve"> of </w:t>
      </w:r>
      <w:r w:rsidR="004435F1">
        <w:rPr>
          <w:rFonts w:cs="Arial"/>
        </w:rPr>
        <w:t>Section </w:t>
      </w:r>
      <w:r w:rsidR="004435F1" w:rsidRPr="00B9092E">
        <w:rPr>
          <w:rFonts w:cs="Arial"/>
        </w:rPr>
        <w:t>6.13(a)(x)(</w:t>
      </w:r>
      <w:r w:rsidR="004435F1">
        <w:rPr>
          <w:rFonts w:cs="Arial"/>
        </w:rPr>
        <w:t>D</w:t>
      </w:r>
      <w:r w:rsidR="004435F1" w:rsidRPr="00B9092E">
        <w:rPr>
          <w:rFonts w:cs="Arial"/>
        </w:rPr>
        <w:t xml:space="preserve">) </w:t>
      </w:r>
      <w:r w:rsidR="004435F1">
        <w:rPr>
          <w:rFonts w:cs="Arial"/>
        </w:rPr>
        <w:t xml:space="preserve">and 6.13(a)(xiv)(C) </w:t>
      </w:r>
      <w:r w:rsidR="004435F1" w:rsidRPr="00B9092E">
        <w:rPr>
          <w:rFonts w:cs="Arial"/>
        </w:rPr>
        <w:t xml:space="preserve">supersede any other modification that may have been made to </w:t>
      </w:r>
      <w:r w:rsidR="004435F1">
        <w:rPr>
          <w:rFonts w:cs="Arial"/>
        </w:rPr>
        <w:t xml:space="preserve">such sections </w:t>
      </w:r>
      <w:r w:rsidR="004435F1" w:rsidRPr="00B9092E">
        <w:rPr>
          <w:rFonts w:cs="Arial"/>
        </w:rPr>
        <w:t>by other Riders attached to this Loan Agreement</w:t>
      </w:r>
      <w:r w:rsidR="00B9092E">
        <w:rPr>
          <w:rFonts w:cs="Arial"/>
        </w:rPr>
        <w:t>:</w:t>
      </w:r>
    </w:p>
    <w:p w14:paraId="551E3347" w14:textId="13A5672B" w:rsidR="0057758B" w:rsidRPr="0057758B" w:rsidRDefault="00B9092E" w:rsidP="00B9092E">
      <w:pPr>
        <w:pStyle w:val="BodyTextIndent"/>
        <w:ind w:left="720"/>
        <w:rPr>
          <w:rFonts w:cs="Arial"/>
        </w:rPr>
      </w:pPr>
      <w:r>
        <w:rPr>
          <w:rFonts w:cs="Arial"/>
        </w:rPr>
        <w:t>(1)</w:t>
      </w:r>
      <w:r>
        <w:rPr>
          <w:rFonts w:cs="Arial"/>
        </w:rPr>
        <w:tab/>
      </w:r>
      <w:r w:rsidR="002E12F5">
        <w:rPr>
          <w:rFonts w:cs="Arial"/>
        </w:rPr>
        <w:t>Section </w:t>
      </w:r>
      <w:r w:rsidR="0057758B" w:rsidRPr="0057758B">
        <w:rPr>
          <w:rFonts w:cs="Arial"/>
        </w:rPr>
        <w:t>6.13(a)(x)(D) is deleted and replaced with the following:</w:t>
      </w:r>
    </w:p>
    <w:p w14:paraId="1BD51552" w14:textId="61F6A7B3" w:rsidR="0057758B" w:rsidRPr="0057758B" w:rsidRDefault="0057758B" w:rsidP="00B9092E">
      <w:pPr>
        <w:pStyle w:val="NormalHangingIndent3"/>
        <w:spacing w:after="0"/>
        <w:ind w:left="720" w:firstLine="720"/>
        <w:jc w:val="left"/>
        <w:rPr>
          <w:rFonts w:ascii="Arial" w:hAnsi="Arial" w:cs="Arial"/>
          <w:sz w:val="20"/>
          <w:szCs w:val="20"/>
        </w:rPr>
      </w:pPr>
      <w:r w:rsidRPr="0057758B">
        <w:rPr>
          <w:rFonts w:ascii="Arial" w:hAnsi="Arial" w:cs="Arial"/>
          <w:sz w:val="20"/>
          <w:szCs w:val="20"/>
        </w:rPr>
        <w:t>(D)</w:t>
      </w:r>
      <w:r w:rsidRPr="0057758B">
        <w:rPr>
          <w:rFonts w:ascii="Arial" w:hAnsi="Arial" w:cs="Arial"/>
          <w:sz w:val="20"/>
          <w:szCs w:val="20"/>
        </w:rPr>
        <w:tab/>
        <w:t>The Related Indebtedness under the Cross-Collateralization Agreement.</w:t>
      </w:r>
    </w:p>
    <w:p w14:paraId="589FA981" w14:textId="7D7F7027" w:rsidR="0057758B" w:rsidRDefault="0057758B" w:rsidP="0057758B">
      <w:pPr>
        <w:rPr>
          <w:rFonts w:cs="Arial"/>
        </w:rPr>
      </w:pPr>
    </w:p>
    <w:p w14:paraId="0036ABFC" w14:textId="4B73A54D" w:rsidR="0057758B" w:rsidRPr="0057758B" w:rsidRDefault="00B9092E" w:rsidP="00B9092E">
      <w:pPr>
        <w:pStyle w:val="BodyTextIndent"/>
        <w:ind w:firstLine="360"/>
        <w:rPr>
          <w:rFonts w:cs="Arial"/>
        </w:rPr>
      </w:pPr>
      <w:r>
        <w:rPr>
          <w:rFonts w:cs="Arial"/>
        </w:rPr>
        <w:t>(2)</w:t>
      </w:r>
      <w:r>
        <w:rPr>
          <w:rFonts w:cs="Arial"/>
        </w:rPr>
        <w:tab/>
      </w:r>
      <w:r w:rsidR="002E12F5">
        <w:rPr>
          <w:rFonts w:cs="Arial"/>
        </w:rPr>
        <w:t>Section </w:t>
      </w:r>
      <w:r w:rsidR="0057758B" w:rsidRPr="0057758B">
        <w:rPr>
          <w:rFonts w:cs="Arial"/>
        </w:rPr>
        <w:t>6.13(a)(xiv)</w:t>
      </w:r>
      <w:r w:rsidR="004435F1">
        <w:rPr>
          <w:rFonts w:cs="Arial"/>
        </w:rPr>
        <w:t>(C)</w:t>
      </w:r>
      <w:r w:rsidR="0057758B" w:rsidRPr="0057758B">
        <w:rPr>
          <w:rFonts w:cs="Arial"/>
        </w:rPr>
        <w:t xml:space="preserve"> is deleted and replaced with the following:</w:t>
      </w:r>
    </w:p>
    <w:p w14:paraId="0E97B5EF" w14:textId="15A03382" w:rsidR="004435F1" w:rsidRDefault="0057758B" w:rsidP="00B9092E">
      <w:pPr>
        <w:pStyle w:val="BodyTextIndent"/>
        <w:spacing w:after="0"/>
        <w:ind w:left="2160" w:hanging="720"/>
        <w:rPr>
          <w:rFonts w:cs="Arial"/>
        </w:rPr>
      </w:pPr>
      <w:r w:rsidRPr="0057758B">
        <w:rPr>
          <w:rFonts w:cs="Arial"/>
        </w:rPr>
        <w:t>(</w:t>
      </w:r>
      <w:r w:rsidR="004435F1">
        <w:rPr>
          <w:rFonts w:cs="Arial"/>
        </w:rPr>
        <w:t>C</w:t>
      </w:r>
      <w:r w:rsidRPr="0057758B">
        <w:rPr>
          <w:rFonts w:cs="Arial"/>
        </w:rPr>
        <w:t>)</w:t>
      </w:r>
      <w:r w:rsidRPr="0057758B">
        <w:rPr>
          <w:rFonts w:cs="Arial"/>
        </w:rPr>
        <w:tab/>
      </w:r>
      <w:r w:rsidR="004435F1">
        <w:rPr>
          <w:rFonts w:cs="Arial"/>
        </w:rPr>
        <w:t>A</w:t>
      </w:r>
      <w:r w:rsidR="004435F1" w:rsidRPr="0057758B">
        <w:rPr>
          <w:rFonts w:cs="Arial"/>
        </w:rPr>
        <w:t>s required by the Cross-Collateralization Agreement and the other Loan Documents</w:t>
      </w:r>
      <w:r w:rsidR="004435F1">
        <w:rPr>
          <w:rFonts w:cs="Arial"/>
        </w:rPr>
        <w:t>.</w:t>
      </w:r>
      <w:r w:rsidR="004435F1" w:rsidRPr="0057758B">
        <w:rPr>
          <w:rFonts w:cs="Arial"/>
        </w:rPr>
        <w:t xml:space="preserve"> </w:t>
      </w:r>
    </w:p>
    <w:p w14:paraId="311F805C" w14:textId="77777777" w:rsidR="004435F1" w:rsidRDefault="004435F1" w:rsidP="00B9092E">
      <w:pPr>
        <w:pStyle w:val="BodyTextIndent"/>
        <w:spacing w:after="0"/>
        <w:ind w:left="2160" w:hanging="720"/>
        <w:rPr>
          <w:rFonts w:cs="Arial"/>
        </w:rPr>
      </w:pPr>
    </w:p>
    <w:p w14:paraId="5888CB60" w14:textId="04983A00" w:rsidR="0057758B" w:rsidRPr="0057758B" w:rsidRDefault="00BF5E83" w:rsidP="000B004F">
      <w:pPr>
        <w:ind w:left="720" w:hanging="720"/>
        <w:rPr>
          <w:rFonts w:cs="Arial"/>
        </w:rPr>
      </w:pPr>
      <w:r>
        <w:rPr>
          <w:rFonts w:cs="Arial"/>
        </w:rPr>
        <w:t>G</w:t>
      </w:r>
      <w:r w:rsidR="0057758B" w:rsidRPr="0057758B">
        <w:rPr>
          <w:rFonts w:cs="Arial"/>
        </w:rPr>
        <w:t>.</w:t>
      </w:r>
      <w:r w:rsidR="0057758B" w:rsidRPr="0057758B">
        <w:rPr>
          <w:rFonts w:cs="Arial"/>
        </w:rPr>
        <w:tab/>
        <w:t xml:space="preserve">The introductory paragraph of </w:t>
      </w:r>
      <w:r w:rsidR="002E12F5">
        <w:rPr>
          <w:rFonts w:cs="Arial"/>
        </w:rPr>
        <w:t>Section </w:t>
      </w:r>
      <w:r w:rsidR="0057758B" w:rsidRPr="0057758B">
        <w:rPr>
          <w:rFonts w:cs="Arial"/>
        </w:rPr>
        <w:t xml:space="preserve">7.05(a) is deleted in its entirety and replaced with the following: </w:t>
      </w:r>
    </w:p>
    <w:p w14:paraId="12EEFB58" w14:textId="77777777" w:rsidR="0057758B" w:rsidRPr="0057758B" w:rsidRDefault="0057758B" w:rsidP="0057758B">
      <w:pPr>
        <w:pStyle w:val="NormalHangingIndent2"/>
        <w:spacing w:after="0"/>
        <w:ind w:left="720"/>
        <w:jc w:val="left"/>
        <w:rPr>
          <w:rFonts w:ascii="Arial" w:hAnsi="Arial" w:cs="Arial"/>
          <w:sz w:val="20"/>
          <w:szCs w:val="20"/>
        </w:rPr>
      </w:pPr>
    </w:p>
    <w:p w14:paraId="752D0DCC" w14:textId="41450CE9" w:rsidR="0057758B" w:rsidRPr="0057758B" w:rsidRDefault="0057758B" w:rsidP="0057758B">
      <w:pPr>
        <w:ind w:left="1440" w:hanging="720"/>
        <w:rPr>
          <w:rFonts w:cs="Arial"/>
        </w:rPr>
      </w:pPr>
      <w:r w:rsidRPr="0057758B">
        <w:rPr>
          <w:rFonts w:cs="Arial"/>
        </w:rPr>
        <w:t>(a)</w:t>
      </w:r>
      <w:r w:rsidRPr="0057758B">
        <w:rPr>
          <w:rFonts w:cs="Arial"/>
        </w:rPr>
        <w:tab/>
      </w:r>
      <w:r w:rsidRPr="0057758B">
        <w:rPr>
          <w:rFonts w:cs="Arial"/>
          <w:u w:val="single"/>
        </w:rPr>
        <w:t>Conditions for Lender’s Consent</w:t>
      </w:r>
      <w:r w:rsidRPr="0057758B">
        <w:rPr>
          <w:rFonts w:cs="Arial"/>
        </w:rPr>
        <w:t xml:space="preserve">. Subject to the terms and conditions set forth in </w:t>
      </w:r>
      <w:r w:rsidR="002E12F5">
        <w:rPr>
          <w:rFonts w:cs="Arial"/>
        </w:rPr>
        <w:t>Section </w:t>
      </w:r>
      <w:r w:rsidRPr="0057758B">
        <w:rPr>
          <w:rFonts w:cs="Arial"/>
        </w:rPr>
        <w:t xml:space="preserve">15 of the Cross-Collateralization Agreement, with respect to a Transfer that would otherwise constitute an Event of Default under this </w:t>
      </w:r>
      <w:r w:rsidR="002E12F5">
        <w:rPr>
          <w:rFonts w:cs="Arial"/>
        </w:rPr>
        <w:t>Article </w:t>
      </w:r>
      <w:r w:rsidRPr="0057758B">
        <w:rPr>
          <w:rFonts w:cs="Arial"/>
        </w:rPr>
        <w:t xml:space="preserve">VII, Lender will consent, without any adjustment to the rate at which the Indebtedness bears interest or to any other economic terms of the Indebtedness set forth in the Note, </w:t>
      </w:r>
      <w:r w:rsidR="00B22954">
        <w:rPr>
          <w:rFonts w:cs="Arial"/>
        </w:rPr>
        <w:t>if,</w:t>
      </w:r>
      <w:r w:rsidRPr="0057758B">
        <w:rPr>
          <w:rFonts w:cs="Arial"/>
        </w:rPr>
        <w:t xml:space="preserve"> prior to such Transfer, each of the following requirements is satisfied:</w:t>
      </w:r>
    </w:p>
    <w:p w14:paraId="5C77391A" w14:textId="653216A8" w:rsidR="0057758B" w:rsidRDefault="0057758B" w:rsidP="0057758B">
      <w:pPr>
        <w:rPr>
          <w:rFonts w:cs="Arial"/>
        </w:rPr>
      </w:pPr>
    </w:p>
    <w:p w14:paraId="64D68D29" w14:textId="5EF5BE5B" w:rsidR="0057758B" w:rsidRPr="0057758B" w:rsidRDefault="00BF5E83" w:rsidP="000B004F">
      <w:pPr>
        <w:pStyle w:val="BodyTextIndent"/>
        <w:spacing w:after="0"/>
        <w:ind w:left="720" w:hanging="720"/>
        <w:rPr>
          <w:rFonts w:cs="Arial"/>
        </w:rPr>
      </w:pPr>
      <w:r>
        <w:rPr>
          <w:rFonts w:cs="Arial"/>
        </w:rPr>
        <w:t>H</w:t>
      </w:r>
      <w:r w:rsidR="0057758B" w:rsidRPr="0057758B">
        <w:rPr>
          <w:rFonts w:cs="Arial"/>
        </w:rPr>
        <w:t>.</w:t>
      </w:r>
      <w:r w:rsidR="0057758B" w:rsidRPr="0057758B">
        <w:rPr>
          <w:rFonts w:cs="Arial"/>
        </w:rPr>
        <w:tab/>
      </w:r>
      <w:r w:rsidR="002E12F5">
        <w:rPr>
          <w:rFonts w:cs="Arial"/>
        </w:rPr>
        <w:t>Section </w:t>
      </w:r>
      <w:r w:rsidR="0057758B" w:rsidRPr="0057758B">
        <w:rPr>
          <w:rFonts w:cs="Arial"/>
        </w:rPr>
        <w:t>9.01(cc) is deleted and replaced with the following:</w:t>
      </w:r>
    </w:p>
    <w:p w14:paraId="15F23B42" w14:textId="77777777" w:rsidR="0057758B" w:rsidRPr="0057758B" w:rsidRDefault="0057758B" w:rsidP="009E7D2C">
      <w:pPr>
        <w:pStyle w:val="BodyTextIndent"/>
        <w:spacing w:after="0"/>
        <w:ind w:left="720"/>
        <w:rPr>
          <w:rFonts w:cs="Arial"/>
        </w:rPr>
      </w:pPr>
    </w:p>
    <w:p w14:paraId="08D812E5" w14:textId="77777777" w:rsidR="0057758B" w:rsidRPr="0057758B" w:rsidRDefault="0057758B" w:rsidP="0057758B">
      <w:pPr>
        <w:pStyle w:val="BodyTextIndent"/>
        <w:ind w:left="1440" w:hanging="720"/>
        <w:rPr>
          <w:rFonts w:cs="Arial"/>
        </w:rPr>
      </w:pPr>
      <w:r w:rsidRPr="0057758B">
        <w:rPr>
          <w:rFonts w:cs="Arial"/>
        </w:rPr>
        <w:t>(cc)</w:t>
      </w:r>
      <w:r w:rsidRPr="0057758B">
        <w:rPr>
          <w:rFonts w:cs="Arial"/>
        </w:rPr>
        <w:tab/>
        <w:t>The occurrence of an “Event of Default” as defined in the Cross-Collateralization Agreement.</w:t>
      </w:r>
    </w:p>
    <w:p w14:paraId="64598C58" w14:textId="77777777" w:rsidR="0057758B" w:rsidRPr="0057758B" w:rsidRDefault="0057758B" w:rsidP="0057758B">
      <w:pPr>
        <w:rPr>
          <w:rFonts w:cs="Arial"/>
        </w:rPr>
      </w:pPr>
    </w:p>
    <w:p w14:paraId="50CA8A2E" w14:textId="16910B89" w:rsidR="009075CE" w:rsidRDefault="00BF5E83" w:rsidP="000B004F">
      <w:pPr>
        <w:pStyle w:val="BodyTextIndent"/>
        <w:keepNext/>
        <w:keepLines/>
        <w:spacing w:after="0"/>
        <w:ind w:left="720" w:hanging="720"/>
        <w:rPr>
          <w:rFonts w:cs="Arial"/>
        </w:rPr>
      </w:pPr>
      <w:r>
        <w:rPr>
          <w:rFonts w:cs="Arial"/>
        </w:rPr>
        <w:lastRenderedPageBreak/>
        <w:t>I</w:t>
      </w:r>
      <w:r w:rsidR="009075CE" w:rsidRPr="0057758B">
        <w:rPr>
          <w:rFonts w:cs="Arial"/>
        </w:rPr>
        <w:t>.</w:t>
      </w:r>
      <w:r w:rsidR="009075CE" w:rsidRPr="0057758B">
        <w:rPr>
          <w:rFonts w:cs="Arial"/>
        </w:rPr>
        <w:tab/>
      </w:r>
      <w:r w:rsidR="009075CE">
        <w:rPr>
          <w:rFonts w:cs="Arial"/>
        </w:rPr>
        <w:t xml:space="preserve"> </w:t>
      </w:r>
      <w:r w:rsidR="009075CE" w:rsidRPr="00C44518">
        <w:rPr>
          <w:rFonts w:cs="Arial"/>
          <w:b/>
          <w:bCs/>
          <w:i/>
          <w:iCs/>
        </w:rPr>
        <w:t xml:space="preserve">If </w:t>
      </w:r>
      <w:r w:rsidR="00181FC7">
        <w:rPr>
          <w:rFonts w:cs="Arial"/>
          <w:b/>
          <w:bCs/>
          <w:i/>
          <w:iCs/>
        </w:rPr>
        <w:t xml:space="preserve">the </w:t>
      </w:r>
      <w:r w:rsidR="00181FC7" w:rsidRPr="00181FC7">
        <w:rPr>
          <w:rFonts w:cs="Arial"/>
          <w:b/>
          <w:bCs/>
          <w:i/>
          <w:iCs/>
        </w:rPr>
        <w:t xml:space="preserve">Additional Supplemental Financing Test for Cross-Collateralized Loans </w:t>
      </w:r>
      <w:r w:rsidR="00181FC7">
        <w:rPr>
          <w:rFonts w:cs="Arial"/>
          <w:b/>
          <w:bCs/>
          <w:i/>
          <w:iCs/>
        </w:rPr>
        <w:t xml:space="preserve">is </w:t>
      </w:r>
      <w:r w:rsidR="009075CE">
        <w:rPr>
          <w:rFonts w:cs="Arial"/>
          <w:b/>
          <w:bCs/>
          <w:i/>
          <w:iCs/>
        </w:rPr>
        <w:t>marked “Not applicable”</w:t>
      </w:r>
      <w:r w:rsidR="00181FC7">
        <w:rPr>
          <w:rFonts w:cs="Arial"/>
          <w:b/>
          <w:bCs/>
          <w:i/>
          <w:iCs/>
        </w:rPr>
        <w:t xml:space="preserve"> in </w:t>
      </w:r>
      <w:r w:rsidR="002E12F5">
        <w:rPr>
          <w:rFonts w:cs="Arial"/>
          <w:b/>
          <w:bCs/>
          <w:i/>
          <w:iCs/>
        </w:rPr>
        <w:t>Section </w:t>
      </w:r>
      <w:r w:rsidR="000563AA">
        <w:rPr>
          <w:rFonts w:cs="Arial"/>
          <w:b/>
          <w:bCs/>
          <w:i/>
          <w:iCs/>
        </w:rPr>
        <w:t>1.05</w:t>
      </w:r>
      <w:r w:rsidR="009075CE" w:rsidRPr="009075CE">
        <w:rPr>
          <w:rFonts w:cs="Arial"/>
        </w:rPr>
        <w:t>,</w:t>
      </w:r>
      <w:r w:rsidR="009075CE" w:rsidRPr="009075CE">
        <w:rPr>
          <w:rFonts w:cs="Arial"/>
          <w:i/>
          <w:iCs/>
        </w:rPr>
        <w:t xml:space="preserve"> </w:t>
      </w:r>
      <w:r w:rsidR="009075CE" w:rsidRPr="009075CE">
        <w:rPr>
          <w:rFonts w:cs="Arial"/>
        </w:rPr>
        <w:t>then</w:t>
      </w:r>
      <w:r w:rsidR="009075CE">
        <w:rPr>
          <w:rFonts w:cs="Arial"/>
        </w:rPr>
        <w:t xml:space="preserve"> the changes to Sections </w:t>
      </w:r>
      <w:r w:rsidR="00E14AE4" w:rsidRPr="00E14AE4">
        <w:rPr>
          <w:rFonts w:cs="Arial"/>
        </w:rPr>
        <w:t xml:space="preserve">11.11(b)(iv) </w:t>
      </w:r>
      <w:r w:rsidR="009075CE">
        <w:rPr>
          <w:rFonts w:cs="Arial"/>
        </w:rPr>
        <w:t xml:space="preserve">and </w:t>
      </w:r>
      <w:r w:rsidR="002E12F5">
        <w:rPr>
          <w:rFonts w:cs="Arial"/>
        </w:rPr>
        <w:t>Section </w:t>
      </w:r>
      <w:r w:rsidR="00E14AE4" w:rsidRPr="00E14AE4">
        <w:rPr>
          <w:rFonts w:cs="Arial"/>
        </w:rPr>
        <w:t xml:space="preserve">11.11(b)(v) </w:t>
      </w:r>
      <w:r w:rsidR="009075CE">
        <w:rPr>
          <w:rFonts w:cs="Arial"/>
        </w:rPr>
        <w:t xml:space="preserve">described in </w:t>
      </w:r>
      <w:r w:rsidR="002E12F5">
        <w:rPr>
          <w:rFonts w:cs="Arial"/>
        </w:rPr>
        <w:t>Paragraph </w:t>
      </w:r>
      <w:r w:rsidR="00D910CF">
        <w:rPr>
          <w:rFonts w:cs="Arial"/>
        </w:rPr>
        <w:t>J</w:t>
      </w:r>
      <w:r w:rsidR="002E12F5">
        <w:rPr>
          <w:rFonts w:cs="Arial"/>
        </w:rPr>
        <w:t xml:space="preserve"> </w:t>
      </w:r>
      <w:r w:rsidR="009075CE">
        <w:rPr>
          <w:rFonts w:cs="Arial"/>
        </w:rPr>
        <w:t xml:space="preserve">of this Rider are not applicable, and </w:t>
      </w:r>
      <w:r w:rsidR="002E12F5">
        <w:rPr>
          <w:rFonts w:cs="Arial"/>
        </w:rPr>
        <w:t xml:space="preserve">Paragraph I </w:t>
      </w:r>
      <w:r w:rsidR="009075CE">
        <w:rPr>
          <w:rFonts w:cs="Arial"/>
        </w:rPr>
        <w:t>is deemed “Reserved”.</w:t>
      </w:r>
    </w:p>
    <w:p w14:paraId="0523D6F7" w14:textId="77777777" w:rsidR="009075CE" w:rsidRDefault="009075CE" w:rsidP="009E7D2C">
      <w:pPr>
        <w:pStyle w:val="BodyTextIndent"/>
        <w:keepNext/>
        <w:keepLines/>
        <w:spacing w:after="0"/>
        <w:ind w:left="720" w:hanging="360"/>
        <w:rPr>
          <w:rFonts w:cs="Arial"/>
        </w:rPr>
      </w:pPr>
    </w:p>
    <w:p w14:paraId="02C60294" w14:textId="6A3B4E68" w:rsidR="009075CE" w:rsidRDefault="00BF5E83" w:rsidP="000B004F">
      <w:pPr>
        <w:pStyle w:val="BodyTextIndent"/>
        <w:keepNext/>
        <w:keepLines/>
        <w:spacing w:after="0"/>
        <w:ind w:left="720" w:hanging="720"/>
        <w:rPr>
          <w:rFonts w:cs="Arial"/>
        </w:rPr>
      </w:pPr>
      <w:r>
        <w:rPr>
          <w:rFonts w:cs="Arial"/>
        </w:rPr>
        <w:t>J</w:t>
      </w:r>
      <w:r w:rsidR="009075CE">
        <w:rPr>
          <w:rFonts w:cs="Arial"/>
        </w:rPr>
        <w:t>.</w:t>
      </w:r>
      <w:r w:rsidR="009075CE">
        <w:rPr>
          <w:rFonts w:cs="Arial"/>
        </w:rPr>
        <w:tab/>
      </w:r>
      <w:r w:rsidR="009075CE" w:rsidRPr="00C44518">
        <w:rPr>
          <w:rFonts w:cs="Arial"/>
          <w:b/>
          <w:bCs/>
          <w:i/>
          <w:iCs/>
        </w:rPr>
        <w:t xml:space="preserve">If </w:t>
      </w:r>
      <w:r w:rsidR="009075CE">
        <w:rPr>
          <w:rFonts w:cs="Arial"/>
          <w:b/>
          <w:bCs/>
          <w:i/>
          <w:iCs/>
        </w:rPr>
        <w:t>the</w:t>
      </w:r>
      <w:r w:rsidR="009075CE" w:rsidRPr="00181FC7">
        <w:rPr>
          <w:rFonts w:cs="Arial"/>
          <w:b/>
          <w:bCs/>
          <w:i/>
          <w:iCs/>
        </w:rPr>
        <w:t xml:space="preserve"> </w:t>
      </w:r>
      <w:r w:rsidR="00181FC7" w:rsidRPr="00181FC7">
        <w:rPr>
          <w:rFonts w:eastAsia="MS Gothic" w:cs="Arial"/>
          <w:b/>
          <w:bCs/>
          <w:i/>
          <w:iCs/>
        </w:rPr>
        <w:t>Additional Supplemental Financing Test for Cross-Collateralized Loans</w:t>
      </w:r>
      <w:r w:rsidR="00181FC7" w:rsidRPr="00181FC7">
        <w:rPr>
          <w:rFonts w:cs="Arial"/>
          <w:b/>
          <w:bCs/>
          <w:i/>
          <w:iCs/>
        </w:rPr>
        <w:t xml:space="preserve"> </w:t>
      </w:r>
      <w:r w:rsidR="00181FC7">
        <w:rPr>
          <w:rFonts w:cs="Arial"/>
          <w:b/>
          <w:bCs/>
          <w:i/>
          <w:iCs/>
        </w:rPr>
        <w:t xml:space="preserve">is marked “Required” in </w:t>
      </w:r>
      <w:r w:rsidR="002E12F5">
        <w:rPr>
          <w:rFonts w:cs="Arial"/>
          <w:b/>
          <w:bCs/>
          <w:i/>
          <w:iCs/>
        </w:rPr>
        <w:t>Section </w:t>
      </w:r>
      <w:r w:rsidR="000563AA">
        <w:rPr>
          <w:rFonts w:cs="Arial"/>
          <w:b/>
          <w:bCs/>
          <w:i/>
          <w:iCs/>
        </w:rPr>
        <w:t>1.05</w:t>
      </w:r>
      <w:r w:rsidR="00181FC7" w:rsidRPr="00181FC7">
        <w:rPr>
          <w:rFonts w:cs="Arial"/>
        </w:rPr>
        <w:t>, then</w:t>
      </w:r>
      <w:r w:rsidR="009075CE">
        <w:rPr>
          <w:rFonts w:cs="Arial"/>
        </w:rPr>
        <w:t xml:space="preserve"> each of the following apply:</w:t>
      </w:r>
    </w:p>
    <w:p w14:paraId="2C87FD87" w14:textId="77777777" w:rsidR="0057758B" w:rsidRPr="0057758B" w:rsidRDefault="0057758B" w:rsidP="009E7D2C">
      <w:pPr>
        <w:keepNext/>
        <w:keepLines/>
        <w:rPr>
          <w:rFonts w:cs="Arial"/>
          <w:highlight w:val="yellow"/>
        </w:rPr>
      </w:pPr>
    </w:p>
    <w:p w14:paraId="7815E6A7" w14:textId="60754CA0" w:rsidR="0057758B" w:rsidRPr="0057758B" w:rsidRDefault="00181FC7" w:rsidP="009E7D2C">
      <w:pPr>
        <w:pStyle w:val="NormalHangingIndent2"/>
        <w:keepNext/>
        <w:keepLines/>
        <w:spacing w:after="0"/>
        <w:ind w:left="0" w:firstLine="720"/>
        <w:jc w:val="left"/>
        <w:rPr>
          <w:rFonts w:ascii="Arial" w:hAnsi="Arial" w:cs="Arial"/>
          <w:sz w:val="20"/>
          <w:szCs w:val="20"/>
        </w:rPr>
      </w:pPr>
      <w:r>
        <w:rPr>
          <w:rFonts w:ascii="Arial" w:hAnsi="Arial" w:cs="Arial"/>
          <w:sz w:val="20"/>
          <w:szCs w:val="20"/>
        </w:rPr>
        <w:t>(1)</w:t>
      </w:r>
      <w:r>
        <w:rPr>
          <w:rFonts w:ascii="Arial" w:hAnsi="Arial" w:cs="Arial"/>
          <w:sz w:val="20"/>
          <w:szCs w:val="20"/>
        </w:rPr>
        <w:tab/>
      </w:r>
      <w:r w:rsidR="002E12F5">
        <w:rPr>
          <w:rFonts w:ascii="Arial" w:hAnsi="Arial" w:cs="Arial"/>
          <w:sz w:val="20"/>
          <w:szCs w:val="20"/>
        </w:rPr>
        <w:t>Section </w:t>
      </w:r>
      <w:r w:rsidR="0057758B" w:rsidRPr="0057758B">
        <w:rPr>
          <w:rFonts w:ascii="Arial" w:hAnsi="Arial" w:cs="Arial"/>
          <w:sz w:val="20"/>
          <w:szCs w:val="20"/>
        </w:rPr>
        <w:t>11.11(b)(iv) is deleted and replaced with the following:</w:t>
      </w:r>
    </w:p>
    <w:p w14:paraId="7B3E80DC" w14:textId="77777777" w:rsidR="0057758B" w:rsidRPr="0057758B" w:rsidRDefault="0057758B" w:rsidP="009E7D2C">
      <w:pPr>
        <w:keepNext/>
        <w:keepLines/>
        <w:rPr>
          <w:rFonts w:cs="Arial"/>
        </w:rPr>
      </w:pPr>
    </w:p>
    <w:p w14:paraId="27E28337" w14:textId="0F097690" w:rsidR="0057758B" w:rsidRPr="0057758B" w:rsidRDefault="0057758B" w:rsidP="00F42DA4">
      <w:pPr>
        <w:ind w:left="2160" w:hanging="720"/>
        <w:rPr>
          <w:rFonts w:cs="Arial"/>
        </w:rPr>
      </w:pPr>
      <w:r w:rsidRPr="0057758B">
        <w:rPr>
          <w:rFonts w:cs="Arial"/>
        </w:rPr>
        <w:t>(iv)</w:t>
      </w:r>
      <w:r w:rsidRPr="0057758B">
        <w:rPr>
          <w:rFonts w:cs="Arial"/>
        </w:rPr>
        <w:tab/>
        <w:t xml:space="preserve">No Supplemental Loan may cause the combined debt service coverage ratio of the Mortgaged Property after the making of that Supplemental Loan to be less than the Minimum DSCR. As used in this </w:t>
      </w:r>
      <w:r w:rsidR="002E12F5">
        <w:rPr>
          <w:rFonts w:cs="Arial"/>
        </w:rPr>
        <w:t>Section </w:t>
      </w:r>
      <w:r w:rsidRPr="0057758B">
        <w:rPr>
          <w:rFonts w:cs="Arial"/>
        </w:rPr>
        <w:t>11.11, the term “combined debt service coverage ratio” means, with respect to the Mortgaged Property, the ratio of:</w:t>
      </w:r>
    </w:p>
    <w:p w14:paraId="37D0A23B" w14:textId="77777777" w:rsidR="0057758B" w:rsidRPr="0057758B" w:rsidRDefault="0057758B" w:rsidP="00F42DA4">
      <w:pPr>
        <w:ind w:left="720"/>
        <w:rPr>
          <w:rFonts w:cs="Arial"/>
        </w:rPr>
      </w:pPr>
    </w:p>
    <w:p w14:paraId="59EC95B0" w14:textId="77777777" w:rsidR="0057758B" w:rsidRPr="0057758B" w:rsidRDefault="0057758B" w:rsidP="00F42DA4">
      <w:pPr>
        <w:ind w:left="2880" w:hanging="720"/>
        <w:rPr>
          <w:rFonts w:cs="Arial"/>
        </w:rPr>
      </w:pPr>
      <w:r w:rsidRPr="0057758B">
        <w:rPr>
          <w:rFonts w:cs="Arial"/>
        </w:rPr>
        <w:t>(A)</w:t>
      </w:r>
      <w:r w:rsidRPr="0057758B">
        <w:rPr>
          <w:rFonts w:cs="Arial"/>
        </w:rPr>
        <w:tab/>
        <w:t>the annual net operating income from the operations of the Mortgaged Property at the time of the proposed Supplemental Loan,</w:t>
      </w:r>
    </w:p>
    <w:p w14:paraId="64375C20" w14:textId="77777777" w:rsidR="0057758B" w:rsidRPr="0057758B" w:rsidRDefault="0057758B" w:rsidP="00F42DA4">
      <w:pPr>
        <w:ind w:left="2880" w:hanging="720"/>
        <w:rPr>
          <w:rFonts w:cs="Arial"/>
        </w:rPr>
      </w:pPr>
    </w:p>
    <w:p w14:paraId="3AD613A3" w14:textId="77777777" w:rsidR="0057758B" w:rsidRPr="0057758B" w:rsidRDefault="0057758B" w:rsidP="00F42DA4">
      <w:pPr>
        <w:ind w:left="2160"/>
        <w:rPr>
          <w:rFonts w:cs="Arial"/>
          <w:u w:val="single"/>
        </w:rPr>
      </w:pPr>
      <w:r w:rsidRPr="0057758B">
        <w:rPr>
          <w:rFonts w:cs="Arial"/>
          <w:u w:val="single"/>
        </w:rPr>
        <w:t>to</w:t>
      </w:r>
    </w:p>
    <w:p w14:paraId="41BC3027" w14:textId="77777777" w:rsidR="0057758B" w:rsidRPr="0057758B" w:rsidRDefault="0057758B" w:rsidP="00F42DA4">
      <w:pPr>
        <w:ind w:left="2160"/>
        <w:rPr>
          <w:rFonts w:cs="Arial"/>
          <w:u w:val="single"/>
        </w:rPr>
      </w:pPr>
    </w:p>
    <w:p w14:paraId="6B901D22" w14:textId="77777777" w:rsidR="0057758B" w:rsidRPr="0057758B" w:rsidRDefault="0057758B" w:rsidP="00F42DA4">
      <w:pPr>
        <w:ind w:left="2880" w:hanging="720"/>
        <w:rPr>
          <w:rFonts w:cs="Arial"/>
          <w:bCs/>
          <w:color w:val="000000"/>
        </w:rPr>
      </w:pPr>
      <w:r w:rsidRPr="0057758B">
        <w:rPr>
          <w:rFonts w:cs="Arial"/>
        </w:rPr>
        <w:t>(B)</w:t>
      </w:r>
      <w:r w:rsidRPr="0057758B">
        <w:rPr>
          <w:rFonts w:cs="Arial"/>
        </w:rPr>
        <w:tab/>
        <w:t>the aggregate of the annual principal and interest payable on</w:t>
      </w:r>
      <w:r w:rsidRPr="0057758B">
        <w:rPr>
          <w:rFonts w:cs="Arial"/>
          <w:bCs/>
          <w:color w:val="000000"/>
        </w:rPr>
        <w:t xml:space="preserve"> all of the following:</w:t>
      </w:r>
    </w:p>
    <w:p w14:paraId="12BAA0CF" w14:textId="77777777" w:rsidR="0057758B" w:rsidRPr="0057758B" w:rsidRDefault="0057758B" w:rsidP="00F42DA4">
      <w:pPr>
        <w:ind w:left="720"/>
        <w:rPr>
          <w:rFonts w:cs="Arial"/>
        </w:rPr>
      </w:pPr>
    </w:p>
    <w:p w14:paraId="1CB7D7A1" w14:textId="77777777" w:rsidR="0057758B" w:rsidRPr="0057758B" w:rsidRDefault="0057758B" w:rsidP="00F42DA4">
      <w:pPr>
        <w:ind w:left="3600" w:hanging="720"/>
        <w:rPr>
          <w:rFonts w:cs="Arial"/>
          <w:bCs/>
          <w:color w:val="000000"/>
        </w:rPr>
      </w:pPr>
      <w:r w:rsidRPr="0057758B">
        <w:rPr>
          <w:rFonts w:cs="Arial"/>
          <w:bCs/>
          <w:color w:val="000000"/>
        </w:rPr>
        <w:t>(1)</w:t>
      </w:r>
      <w:r w:rsidRPr="0057758B">
        <w:rPr>
          <w:rFonts w:cs="Arial"/>
          <w:bCs/>
          <w:color w:val="000000"/>
        </w:rPr>
        <w:tab/>
        <w:t>the Indebtedness under this Loan Agreement (</w:t>
      </w:r>
      <w:r w:rsidRPr="0057758B">
        <w:rPr>
          <w:rFonts w:cs="Arial"/>
          <w:bCs/>
        </w:rPr>
        <w:t>using a 30-year amortization schedule)</w:t>
      </w:r>
      <w:r w:rsidRPr="0057758B">
        <w:rPr>
          <w:rFonts w:cs="Arial"/>
          <w:bCs/>
          <w:color w:val="000000"/>
        </w:rPr>
        <w:t>,</w:t>
      </w:r>
    </w:p>
    <w:p w14:paraId="53D7F854" w14:textId="77777777" w:rsidR="0057758B" w:rsidRPr="0057758B" w:rsidRDefault="0057758B" w:rsidP="00F42DA4">
      <w:pPr>
        <w:ind w:left="3600" w:hanging="720"/>
        <w:rPr>
          <w:rFonts w:cs="Arial"/>
          <w:bCs/>
          <w:color w:val="000000"/>
        </w:rPr>
      </w:pPr>
    </w:p>
    <w:p w14:paraId="1F5E9B3D" w14:textId="77777777" w:rsidR="0057758B" w:rsidRPr="0057758B" w:rsidRDefault="0057758B" w:rsidP="00F42DA4">
      <w:pPr>
        <w:ind w:left="3600" w:hanging="720"/>
        <w:rPr>
          <w:rFonts w:cs="Arial"/>
          <w:bCs/>
          <w:color w:val="000000"/>
        </w:rPr>
      </w:pPr>
      <w:r w:rsidRPr="0057758B">
        <w:rPr>
          <w:rFonts w:cs="Arial"/>
          <w:bCs/>
          <w:color w:val="000000"/>
        </w:rPr>
        <w:t>(2)</w:t>
      </w:r>
      <w:r w:rsidRPr="0057758B">
        <w:rPr>
          <w:rFonts w:cs="Arial"/>
          <w:bCs/>
          <w:color w:val="000000"/>
        </w:rPr>
        <w:tab/>
        <w:t xml:space="preserve">any “Indebtedness” as defined in any security instruments recorded against the Mortgaged Property </w:t>
      </w:r>
      <w:r w:rsidRPr="0057758B">
        <w:rPr>
          <w:rFonts w:cs="Arial"/>
          <w:bCs/>
        </w:rPr>
        <w:t xml:space="preserve">(using a 30-year amortization schedule for any Supplemental </w:t>
      </w:r>
      <w:r w:rsidRPr="0057758B">
        <w:rPr>
          <w:rFonts w:cs="Arial"/>
        </w:rPr>
        <w:t>Loan</w:t>
      </w:r>
      <w:r w:rsidRPr="0057758B">
        <w:rPr>
          <w:rFonts w:cs="Arial"/>
          <w:bCs/>
        </w:rPr>
        <w:t xml:space="preserve">s), </w:t>
      </w:r>
      <w:r w:rsidRPr="0057758B">
        <w:rPr>
          <w:rFonts w:cs="Arial"/>
          <w:bCs/>
          <w:color w:val="000000"/>
        </w:rPr>
        <w:t>and</w:t>
      </w:r>
    </w:p>
    <w:p w14:paraId="0B763C25" w14:textId="77777777" w:rsidR="0057758B" w:rsidRPr="0057758B" w:rsidRDefault="0057758B" w:rsidP="00F42DA4">
      <w:pPr>
        <w:ind w:left="3600" w:hanging="720"/>
        <w:rPr>
          <w:rFonts w:cs="Arial"/>
          <w:bCs/>
          <w:color w:val="000000"/>
        </w:rPr>
      </w:pPr>
    </w:p>
    <w:p w14:paraId="51EE07C5" w14:textId="77777777" w:rsidR="0057758B" w:rsidRPr="0057758B" w:rsidRDefault="0057758B" w:rsidP="00F42DA4">
      <w:pPr>
        <w:ind w:left="3600" w:hanging="720"/>
        <w:rPr>
          <w:rFonts w:cs="Arial"/>
          <w:bCs/>
          <w:color w:val="000000"/>
        </w:rPr>
      </w:pPr>
      <w:r w:rsidRPr="0057758B">
        <w:rPr>
          <w:rFonts w:cs="Arial"/>
          <w:bCs/>
          <w:color w:val="000000"/>
        </w:rPr>
        <w:t>(3)</w:t>
      </w:r>
      <w:r w:rsidRPr="0057758B">
        <w:rPr>
          <w:rFonts w:cs="Arial"/>
          <w:bCs/>
          <w:color w:val="000000"/>
        </w:rPr>
        <w:tab/>
        <w:t xml:space="preserve">the proposed “Indebtedness” for any Supplemental </w:t>
      </w:r>
      <w:r w:rsidRPr="0057758B">
        <w:rPr>
          <w:rFonts w:cs="Arial"/>
        </w:rPr>
        <w:t>Loan</w:t>
      </w:r>
      <w:r w:rsidRPr="0057758B">
        <w:rPr>
          <w:rFonts w:cs="Arial"/>
          <w:bCs/>
        </w:rPr>
        <w:t xml:space="preserve"> (using a 30-year amortization schedule)</w:t>
      </w:r>
      <w:r w:rsidRPr="0057758B">
        <w:rPr>
          <w:rFonts w:cs="Arial"/>
          <w:bCs/>
          <w:color w:val="000000"/>
        </w:rPr>
        <w:t>.</w:t>
      </w:r>
    </w:p>
    <w:p w14:paraId="33ACF07A" w14:textId="77777777" w:rsidR="0057758B" w:rsidRPr="0057758B" w:rsidRDefault="0057758B" w:rsidP="00F42DA4">
      <w:pPr>
        <w:ind w:left="3600" w:hanging="720"/>
        <w:rPr>
          <w:rFonts w:cs="Arial"/>
          <w:bCs/>
          <w:color w:val="000000"/>
        </w:rPr>
      </w:pPr>
    </w:p>
    <w:p w14:paraId="0C923EFB" w14:textId="79161D05" w:rsidR="0057758B" w:rsidRPr="0057758B" w:rsidRDefault="0057758B" w:rsidP="00F42DA4">
      <w:pPr>
        <w:ind w:left="2160"/>
        <w:rPr>
          <w:rFonts w:cs="Arial"/>
          <w:bCs/>
        </w:rPr>
      </w:pPr>
      <w:r w:rsidRPr="0057758B">
        <w:rPr>
          <w:rFonts w:cs="Arial"/>
          <w:bCs/>
        </w:rPr>
        <w:t xml:space="preserve">In addition, no Supplemental Loan may cause the aggregate combined debt service coverage ratio of the Mortgaged Property and the Related Mortgaged Properties after the making of the Supplemental Loan to be less than the Minimum Aggregate DSCR. </w:t>
      </w:r>
      <w:r w:rsidRPr="0057758B">
        <w:rPr>
          <w:rFonts w:cs="Arial"/>
        </w:rPr>
        <w:t xml:space="preserve">As used in this </w:t>
      </w:r>
      <w:r w:rsidR="002E12F5">
        <w:rPr>
          <w:rFonts w:cs="Arial"/>
        </w:rPr>
        <w:t>Section </w:t>
      </w:r>
      <w:r w:rsidRPr="0057758B">
        <w:rPr>
          <w:rFonts w:cs="Arial"/>
        </w:rPr>
        <w:t>11.11, the term “aggregate combined debt service coverage ratio” means, with respect to the Mortgaged Property, the ratio of:</w:t>
      </w:r>
    </w:p>
    <w:p w14:paraId="6186E1AC" w14:textId="77777777" w:rsidR="0057758B" w:rsidRPr="0057758B" w:rsidRDefault="0057758B" w:rsidP="00F42DA4">
      <w:pPr>
        <w:ind w:left="720"/>
        <w:rPr>
          <w:rFonts w:cs="Arial"/>
        </w:rPr>
      </w:pPr>
    </w:p>
    <w:p w14:paraId="0E8C700F" w14:textId="5CBFC155" w:rsidR="0057758B" w:rsidRPr="0057758B" w:rsidRDefault="0057758B" w:rsidP="00F42DA4">
      <w:pPr>
        <w:ind w:left="2880" w:hanging="720"/>
        <w:rPr>
          <w:rFonts w:cs="Arial"/>
        </w:rPr>
      </w:pPr>
      <w:r w:rsidRPr="0057758B">
        <w:rPr>
          <w:rFonts w:cs="Arial"/>
        </w:rPr>
        <w:t>(</w:t>
      </w:r>
      <w:r w:rsidR="009E7D2C">
        <w:rPr>
          <w:rFonts w:cs="Arial"/>
        </w:rPr>
        <w:t>C</w:t>
      </w:r>
      <w:r w:rsidRPr="0057758B">
        <w:rPr>
          <w:rFonts w:cs="Arial"/>
        </w:rPr>
        <w:t>)</w:t>
      </w:r>
      <w:r w:rsidRPr="0057758B">
        <w:rPr>
          <w:rFonts w:cs="Arial"/>
        </w:rPr>
        <w:tab/>
        <w:t>the aggregate annual net operating income from the operations of the Mortgaged Property and the Related Mortgaged Properties at the time of the proposed Supplemental Loan,</w:t>
      </w:r>
    </w:p>
    <w:p w14:paraId="3CB3AA7E" w14:textId="77777777" w:rsidR="0057758B" w:rsidRPr="0057758B" w:rsidRDefault="0057758B" w:rsidP="00F42DA4">
      <w:pPr>
        <w:ind w:left="2880" w:hanging="720"/>
        <w:rPr>
          <w:rFonts w:cs="Arial"/>
        </w:rPr>
      </w:pPr>
    </w:p>
    <w:p w14:paraId="53A082B5" w14:textId="77777777" w:rsidR="0057758B" w:rsidRPr="009E7D2C" w:rsidRDefault="0057758B" w:rsidP="00F42DA4">
      <w:pPr>
        <w:ind w:left="2160"/>
        <w:rPr>
          <w:rFonts w:cs="Arial"/>
          <w:u w:val="single"/>
        </w:rPr>
      </w:pPr>
      <w:r w:rsidRPr="009E7D2C">
        <w:rPr>
          <w:rFonts w:cs="Arial"/>
          <w:u w:val="single"/>
        </w:rPr>
        <w:t>to</w:t>
      </w:r>
    </w:p>
    <w:p w14:paraId="4FC338EA" w14:textId="77777777" w:rsidR="0057758B" w:rsidRPr="0057758B" w:rsidRDefault="0057758B" w:rsidP="00F42DA4">
      <w:pPr>
        <w:ind w:left="2160"/>
        <w:rPr>
          <w:rFonts w:cs="Arial"/>
        </w:rPr>
      </w:pPr>
    </w:p>
    <w:p w14:paraId="0F6B36B6" w14:textId="23E2DE96" w:rsidR="0057758B" w:rsidRPr="0057758B" w:rsidRDefault="0057758B" w:rsidP="00F42DA4">
      <w:pPr>
        <w:ind w:left="2880" w:hanging="720"/>
        <w:rPr>
          <w:rFonts w:cs="Arial"/>
          <w:bCs/>
        </w:rPr>
      </w:pPr>
      <w:r w:rsidRPr="0057758B">
        <w:rPr>
          <w:rFonts w:cs="Arial"/>
        </w:rPr>
        <w:t>(</w:t>
      </w:r>
      <w:r w:rsidR="009E7D2C">
        <w:rPr>
          <w:rFonts w:cs="Arial"/>
        </w:rPr>
        <w:t>D</w:t>
      </w:r>
      <w:r w:rsidRPr="0057758B">
        <w:rPr>
          <w:rFonts w:cs="Arial"/>
        </w:rPr>
        <w:t>)</w:t>
      </w:r>
      <w:r w:rsidRPr="0057758B">
        <w:rPr>
          <w:rFonts w:cs="Arial"/>
        </w:rPr>
        <w:tab/>
        <w:t>the aggregate of the annual principal and interest payable on</w:t>
      </w:r>
      <w:r w:rsidRPr="0057758B">
        <w:rPr>
          <w:rFonts w:cs="Arial"/>
          <w:bCs/>
        </w:rPr>
        <w:t xml:space="preserve"> all of the following:</w:t>
      </w:r>
    </w:p>
    <w:p w14:paraId="1F1EA575" w14:textId="77777777" w:rsidR="0057758B" w:rsidRPr="0057758B" w:rsidRDefault="0057758B" w:rsidP="00F42DA4">
      <w:pPr>
        <w:ind w:left="720"/>
        <w:rPr>
          <w:rFonts w:cs="Arial"/>
        </w:rPr>
      </w:pPr>
    </w:p>
    <w:p w14:paraId="75BE3BF6" w14:textId="06BB93AC" w:rsidR="0057758B" w:rsidRPr="0057758B" w:rsidRDefault="0057758B" w:rsidP="00F42DA4">
      <w:pPr>
        <w:ind w:left="3600" w:hanging="720"/>
        <w:rPr>
          <w:rFonts w:cs="Arial"/>
          <w:bCs/>
        </w:rPr>
      </w:pPr>
      <w:r w:rsidRPr="0057758B">
        <w:rPr>
          <w:rFonts w:cs="Arial"/>
          <w:bCs/>
        </w:rPr>
        <w:t>(</w:t>
      </w:r>
      <w:r w:rsidR="009E7D2C">
        <w:rPr>
          <w:rFonts w:cs="Arial"/>
          <w:bCs/>
        </w:rPr>
        <w:t>1</w:t>
      </w:r>
      <w:r w:rsidRPr="0057758B">
        <w:rPr>
          <w:rFonts w:cs="Arial"/>
          <w:bCs/>
        </w:rPr>
        <w:t>)</w:t>
      </w:r>
      <w:r w:rsidRPr="0057758B">
        <w:rPr>
          <w:rFonts w:cs="Arial"/>
          <w:bCs/>
        </w:rPr>
        <w:tab/>
        <w:t>the Indebtedness under this Loan Agreement and the Related Indebtedness</w:t>
      </w:r>
      <w:r w:rsidR="00427671">
        <w:rPr>
          <w:rFonts w:cs="Arial"/>
          <w:bCs/>
        </w:rPr>
        <w:t xml:space="preserve"> </w:t>
      </w:r>
      <w:r w:rsidRPr="0057758B">
        <w:rPr>
          <w:rFonts w:cs="Arial"/>
          <w:bCs/>
        </w:rPr>
        <w:t>under the Related Loan Agreements (using a 30-year amortization schedule),</w:t>
      </w:r>
    </w:p>
    <w:p w14:paraId="1E0F50FE" w14:textId="77777777" w:rsidR="0057758B" w:rsidRPr="0057758B" w:rsidRDefault="0057758B" w:rsidP="00F42DA4">
      <w:pPr>
        <w:ind w:left="3600" w:hanging="720"/>
        <w:rPr>
          <w:rFonts w:cs="Arial"/>
          <w:bCs/>
        </w:rPr>
      </w:pPr>
    </w:p>
    <w:p w14:paraId="4CA2E73B" w14:textId="65C8049B" w:rsidR="0057758B" w:rsidRPr="0057758B" w:rsidRDefault="0057758B" w:rsidP="00F42DA4">
      <w:pPr>
        <w:ind w:left="3600" w:hanging="720"/>
        <w:rPr>
          <w:rFonts w:cs="Arial"/>
          <w:bCs/>
        </w:rPr>
      </w:pPr>
      <w:r w:rsidRPr="0057758B">
        <w:rPr>
          <w:rFonts w:cs="Arial"/>
          <w:bCs/>
        </w:rPr>
        <w:t>(</w:t>
      </w:r>
      <w:r w:rsidR="009E7D2C">
        <w:rPr>
          <w:rFonts w:cs="Arial"/>
          <w:bCs/>
        </w:rPr>
        <w:t>2</w:t>
      </w:r>
      <w:r w:rsidRPr="0057758B">
        <w:rPr>
          <w:rFonts w:cs="Arial"/>
          <w:bCs/>
        </w:rPr>
        <w:t>)</w:t>
      </w:r>
      <w:r w:rsidRPr="0057758B">
        <w:rPr>
          <w:rFonts w:cs="Arial"/>
          <w:bCs/>
        </w:rPr>
        <w:tab/>
        <w:t xml:space="preserve">any “Indebtedness” as defined in any security instruments recorded against the Mortgaged Property or the Related Mortgaged Properties (using a 30-year amortization schedule for any Supplemental </w:t>
      </w:r>
      <w:r w:rsidRPr="0057758B">
        <w:rPr>
          <w:rFonts w:cs="Arial"/>
        </w:rPr>
        <w:t>Loan</w:t>
      </w:r>
      <w:r w:rsidRPr="0057758B">
        <w:rPr>
          <w:rFonts w:cs="Arial"/>
          <w:bCs/>
        </w:rPr>
        <w:t>s), and</w:t>
      </w:r>
    </w:p>
    <w:p w14:paraId="208D9CCD" w14:textId="77777777" w:rsidR="0057758B" w:rsidRPr="0057758B" w:rsidRDefault="0057758B" w:rsidP="00F42DA4">
      <w:pPr>
        <w:ind w:left="3600" w:hanging="720"/>
        <w:rPr>
          <w:rFonts w:cs="Arial"/>
          <w:bCs/>
        </w:rPr>
      </w:pPr>
    </w:p>
    <w:p w14:paraId="73C51A32" w14:textId="41828832" w:rsidR="0057758B" w:rsidRPr="0057758B" w:rsidRDefault="0057758B" w:rsidP="00F42DA4">
      <w:pPr>
        <w:ind w:left="3600" w:hanging="720"/>
        <w:rPr>
          <w:rFonts w:cs="Arial"/>
          <w:bCs/>
        </w:rPr>
      </w:pPr>
      <w:r w:rsidRPr="0057758B">
        <w:rPr>
          <w:rFonts w:cs="Arial"/>
          <w:bCs/>
        </w:rPr>
        <w:lastRenderedPageBreak/>
        <w:t>(</w:t>
      </w:r>
      <w:r w:rsidR="009E7D2C">
        <w:rPr>
          <w:rFonts w:cs="Arial"/>
          <w:bCs/>
        </w:rPr>
        <w:t>3</w:t>
      </w:r>
      <w:r w:rsidRPr="0057758B">
        <w:rPr>
          <w:rFonts w:cs="Arial"/>
          <w:bCs/>
        </w:rPr>
        <w:t>)</w:t>
      </w:r>
      <w:r w:rsidRPr="0057758B">
        <w:rPr>
          <w:rFonts w:cs="Arial"/>
          <w:bCs/>
        </w:rPr>
        <w:tab/>
        <w:t xml:space="preserve">the proposed “Indebtedness” for any Supplemental </w:t>
      </w:r>
      <w:r w:rsidRPr="0057758B">
        <w:rPr>
          <w:rFonts w:cs="Arial"/>
        </w:rPr>
        <w:t>Loan</w:t>
      </w:r>
      <w:r w:rsidRPr="0057758B">
        <w:rPr>
          <w:rFonts w:cs="Arial"/>
          <w:bCs/>
        </w:rPr>
        <w:t xml:space="preserve"> and any other “Supplemental Loan” as defined in the Related Loan Agreements (using a 30-year amortization schedule).</w:t>
      </w:r>
    </w:p>
    <w:p w14:paraId="6B8AD311" w14:textId="77777777" w:rsidR="0057758B" w:rsidRPr="0057758B" w:rsidRDefault="0057758B" w:rsidP="00F42DA4">
      <w:pPr>
        <w:ind w:left="720"/>
        <w:rPr>
          <w:rFonts w:cs="Arial"/>
          <w:bCs/>
        </w:rPr>
      </w:pPr>
    </w:p>
    <w:p w14:paraId="47D02A63" w14:textId="6064372F" w:rsidR="0057758B" w:rsidRPr="0057758B" w:rsidRDefault="0057758B" w:rsidP="00F42DA4">
      <w:pPr>
        <w:ind w:left="2160"/>
        <w:rPr>
          <w:rFonts w:cs="Arial"/>
          <w:bCs/>
        </w:rPr>
      </w:pPr>
      <w:r w:rsidRPr="0057758B">
        <w:rPr>
          <w:rFonts w:cs="Arial"/>
          <w:bCs/>
        </w:rPr>
        <w:t xml:space="preserve">As used in this </w:t>
      </w:r>
      <w:r w:rsidR="002E12F5">
        <w:rPr>
          <w:rFonts w:cs="Arial"/>
          <w:bCs/>
        </w:rPr>
        <w:t>Section </w:t>
      </w:r>
      <w:r w:rsidRPr="0057758B">
        <w:rPr>
          <w:rFonts w:cs="Arial"/>
          <w:bCs/>
        </w:rPr>
        <w:t>11.11, “annual principal and interest” with respect to a floating rate loan will be calculated by Freddie Mac using an interest rate equal to one of the following:</w:t>
      </w:r>
    </w:p>
    <w:p w14:paraId="17F6F182" w14:textId="77777777" w:rsidR="0057758B" w:rsidRPr="0057758B" w:rsidRDefault="0057758B" w:rsidP="00F42DA4">
      <w:pPr>
        <w:ind w:left="720"/>
        <w:rPr>
          <w:rFonts w:cs="Arial"/>
        </w:rPr>
      </w:pPr>
    </w:p>
    <w:p w14:paraId="779BBE06" w14:textId="2FA21435" w:rsidR="0057758B" w:rsidRPr="0057758B" w:rsidRDefault="0057758B" w:rsidP="00F42DA4">
      <w:pPr>
        <w:ind w:left="2880" w:hanging="720"/>
        <w:rPr>
          <w:rFonts w:cs="Arial"/>
          <w:bCs/>
        </w:rPr>
      </w:pPr>
      <w:r w:rsidRPr="0057758B">
        <w:rPr>
          <w:rFonts w:cs="Arial"/>
          <w:bCs/>
        </w:rPr>
        <w:t>(X)</w:t>
      </w:r>
      <w:r w:rsidRPr="0057758B">
        <w:rPr>
          <w:rFonts w:cs="Arial"/>
          <w:bCs/>
        </w:rPr>
        <w:tab/>
      </w:r>
      <w:r w:rsidR="00F42DA4">
        <w:rPr>
          <w:rFonts w:cs="Arial"/>
          <w:bCs/>
        </w:rPr>
        <w:t>Reserved.</w:t>
      </w:r>
    </w:p>
    <w:p w14:paraId="2CD5D60E" w14:textId="77777777" w:rsidR="0057758B" w:rsidRPr="0057758B" w:rsidRDefault="0057758B" w:rsidP="00F42DA4">
      <w:pPr>
        <w:ind w:left="720"/>
        <w:rPr>
          <w:rFonts w:cs="Arial"/>
        </w:rPr>
      </w:pPr>
    </w:p>
    <w:p w14:paraId="2281A3E4" w14:textId="33D1B0AA" w:rsidR="0057758B" w:rsidRPr="0057758B" w:rsidRDefault="0057758B" w:rsidP="00F42DA4">
      <w:pPr>
        <w:ind w:left="2880" w:hanging="720"/>
        <w:rPr>
          <w:rFonts w:cs="Arial"/>
          <w:bCs/>
        </w:rPr>
      </w:pPr>
      <w:r w:rsidRPr="0057758B">
        <w:rPr>
          <w:rFonts w:cs="Arial"/>
        </w:rPr>
        <w:t>(Y)</w:t>
      </w:r>
      <w:r w:rsidRPr="0057758B">
        <w:rPr>
          <w:rFonts w:cs="Arial"/>
        </w:rPr>
        <w:tab/>
        <w:t xml:space="preserve">If the loan has an external interest rate cap, the </w:t>
      </w:r>
      <w:r w:rsidR="00D910CF">
        <w:rPr>
          <w:rFonts w:cs="Arial"/>
        </w:rPr>
        <w:t xml:space="preserve">Amortizing </w:t>
      </w:r>
      <w:r w:rsidRPr="0057758B">
        <w:rPr>
          <w:rFonts w:cs="Arial"/>
        </w:rPr>
        <w:t xml:space="preserve">Strike Rate plus the Margin </w:t>
      </w:r>
      <w:r w:rsidRPr="0057758B">
        <w:rPr>
          <w:rFonts w:cs="Arial"/>
          <w:bCs/>
        </w:rPr>
        <w:t>(as such terms are defined in this Loan Agreement or the Related Loan Agreement, as applicable).</w:t>
      </w:r>
    </w:p>
    <w:p w14:paraId="62791C45" w14:textId="77777777" w:rsidR="0057758B" w:rsidRPr="0057758B" w:rsidRDefault="0057758B" w:rsidP="00F42DA4">
      <w:pPr>
        <w:ind w:left="2880" w:hanging="720"/>
        <w:rPr>
          <w:rFonts w:cs="Arial"/>
        </w:rPr>
      </w:pPr>
    </w:p>
    <w:p w14:paraId="5B3E76FB" w14:textId="6FFEB13E" w:rsidR="0057758B" w:rsidRPr="0057758B" w:rsidRDefault="0057758B" w:rsidP="00F42DA4">
      <w:pPr>
        <w:ind w:left="2880" w:hanging="720"/>
        <w:rPr>
          <w:rFonts w:cs="Arial"/>
          <w:bCs/>
        </w:rPr>
      </w:pPr>
      <w:r w:rsidRPr="0057758B">
        <w:rPr>
          <w:rFonts w:cs="Arial"/>
        </w:rPr>
        <w:t>(Z)</w:t>
      </w:r>
      <w:r w:rsidRPr="0057758B">
        <w:rPr>
          <w:rFonts w:cs="Arial"/>
        </w:rPr>
        <w:tab/>
        <w:t>If the loan has no interest rate cap, the greater of (I)</w:t>
      </w:r>
      <w:r w:rsidR="00427671">
        <w:rPr>
          <w:rFonts w:cs="Arial"/>
        </w:rPr>
        <w:t> </w:t>
      </w:r>
      <w:r w:rsidRPr="0057758B">
        <w:rPr>
          <w:rFonts w:cs="Arial"/>
        </w:rPr>
        <w:t>7%, or (II)</w:t>
      </w:r>
      <w:r w:rsidR="00427671">
        <w:rPr>
          <w:rFonts w:cs="Arial"/>
        </w:rPr>
        <w:t> </w:t>
      </w:r>
      <w:r w:rsidRPr="0057758B">
        <w:rPr>
          <w:rFonts w:cs="Arial"/>
        </w:rPr>
        <w:t>the</w:t>
      </w:r>
      <w:r w:rsidR="00232D03">
        <w:rPr>
          <w:rFonts w:cs="Arial"/>
        </w:rPr>
        <w:t xml:space="preserve"> then-current</w:t>
      </w:r>
      <w:r w:rsidR="00F42DA4">
        <w:rPr>
          <w:rFonts w:cs="Arial"/>
        </w:rPr>
        <w:t xml:space="preserve"> Index </w:t>
      </w:r>
      <w:r w:rsidR="0072102B">
        <w:rPr>
          <w:rFonts w:cs="Arial"/>
        </w:rPr>
        <w:t xml:space="preserve">Rate </w:t>
      </w:r>
      <w:r w:rsidRPr="0057758B">
        <w:rPr>
          <w:rFonts w:cs="Arial"/>
        </w:rPr>
        <w:t xml:space="preserve">plus the Margin plus 300 basis points </w:t>
      </w:r>
      <w:r w:rsidRPr="0057758B">
        <w:rPr>
          <w:rFonts w:cs="Arial"/>
          <w:bCs/>
        </w:rPr>
        <w:t>(as such terms are defined in this Loan Agreement or the Related Loan Agreement, as applicable).</w:t>
      </w:r>
    </w:p>
    <w:p w14:paraId="066754F4" w14:textId="77777777" w:rsidR="0057758B" w:rsidRPr="0057758B" w:rsidRDefault="0057758B" w:rsidP="00F42DA4">
      <w:pPr>
        <w:ind w:left="2880" w:hanging="720"/>
        <w:rPr>
          <w:rFonts w:cs="Arial"/>
        </w:rPr>
      </w:pPr>
    </w:p>
    <w:p w14:paraId="4532B8FB" w14:textId="31C0B849" w:rsidR="0057758B" w:rsidRPr="0057758B" w:rsidRDefault="0057758B" w:rsidP="00F42DA4">
      <w:pPr>
        <w:ind w:left="2160"/>
        <w:rPr>
          <w:rFonts w:cs="Arial"/>
          <w:bCs/>
        </w:rPr>
      </w:pPr>
      <w:r w:rsidRPr="0057758B">
        <w:rPr>
          <w:rFonts w:cs="Arial"/>
          <w:bCs/>
        </w:rPr>
        <w:t xml:space="preserve">The annual net operating income of the Mortgaged Property and the Related Mortgage Properties will be as determined by Freddie Mac in its discretion considering factors such as income in place at the time of the proposed Supplemental </w:t>
      </w:r>
      <w:r w:rsidRPr="0057758B">
        <w:rPr>
          <w:rFonts w:cs="Arial"/>
        </w:rPr>
        <w:t>Loan</w:t>
      </w:r>
      <w:r w:rsidRPr="0057758B">
        <w:rPr>
          <w:rFonts w:cs="Arial"/>
          <w:bCs/>
        </w:rPr>
        <w:t xml:space="preserve"> and income during the preceding 12 months, and actual, historical and anticipated operating expenses. </w:t>
      </w:r>
      <w:r w:rsidRPr="0057758B">
        <w:rPr>
          <w:rFonts w:cs="Arial"/>
          <w:bCs/>
          <w:color w:val="000000"/>
        </w:rPr>
        <w:t xml:space="preserve">Freddie Mac will determine the combined debt service coverage ratio and the aggregate combined debt service coverage ratio of the Mortgaged Property based on its underwriting. </w:t>
      </w:r>
      <w:r w:rsidRPr="0057758B">
        <w:rPr>
          <w:rFonts w:cs="Arial"/>
          <w:bCs/>
        </w:rPr>
        <w:t xml:space="preserve">Borrower will provide Freddie Mac such financial statements and other information </w:t>
      </w:r>
      <w:r w:rsidR="002D2C85">
        <w:rPr>
          <w:rFonts w:cs="Arial"/>
          <w:bCs/>
        </w:rPr>
        <w:t xml:space="preserve">as </w:t>
      </w:r>
      <w:r w:rsidRPr="0057758B">
        <w:rPr>
          <w:rFonts w:cs="Arial"/>
          <w:bCs/>
        </w:rPr>
        <w:t>Freddie Mac may require to make these determinations.</w:t>
      </w:r>
    </w:p>
    <w:p w14:paraId="45EF52B2" w14:textId="77777777" w:rsidR="0057758B" w:rsidRPr="0057758B" w:rsidRDefault="0057758B" w:rsidP="0057758B">
      <w:pPr>
        <w:rPr>
          <w:rFonts w:cs="Arial"/>
        </w:rPr>
      </w:pPr>
    </w:p>
    <w:p w14:paraId="09444485" w14:textId="7FA5F557" w:rsidR="0057758B" w:rsidRPr="0057758B" w:rsidRDefault="00A0492D" w:rsidP="00A0492D">
      <w:pPr>
        <w:pStyle w:val="NormalHangingIndent2"/>
        <w:spacing w:after="0"/>
        <w:jc w:val="left"/>
        <w:rPr>
          <w:rFonts w:ascii="Arial" w:hAnsi="Arial" w:cs="Arial"/>
          <w:sz w:val="20"/>
          <w:szCs w:val="20"/>
        </w:rPr>
      </w:pPr>
      <w:r>
        <w:rPr>
          <w:rFonts w:ascii="Arial" w:hAnsi="Arial" w:cs="Arial"/>
          <w:sz w:val="20"/>
          <w:szCs w:val="20"/>
        </w:rPr>
        <w:t>(2)</w:t>
      </w:r>
      <w:r w:rsidR="0057758B" w:rsidRPr="0057758B">
        <w:rPr>
          <w:rFonts w:ascii="Arial" w:hAnsi="Arial" w:cs="Arial"/>
          <w:sz w:val="20"/>
          <w:szCs w:val="20"/>
        </w:rPr>
        <w:tab/>
      </w:r>
      <w:r w:rsidR="002E12F5">
        <w:rPr>
          <w:rFonts w:ascii="Arial" w:hAnsi="Arial" w:cs="Arial"/>
          <w:sz w:val="20"/>
          <w:szCs w:val="20"/>
        </w:rPr>
        <w:t>Section </w:t>
      </w:r>
      <w:r w:rsidR="0057758B" w:rsidRPr="0057758B">
        <w:rPr>
          <w:rFonts w:ascii="Arial" w:hAnsi="Arial" w:cs="Arial"/>
          <w:sz w:val="20"/>
          <w:szCs w:val="20"/>
        </w:rPr>
        <w:t>11.11(b)(v) is deleted and replaced with the following:</w:t>
      </w:r>
    </w:p>
    <w:p w14:paraId="1B054B3B" w14:textId="77777777" w:rsidR="0057758B" w:rsidRPr="0057758B" w:rsidRDefault="0057758B" w:rsidP="00A0492D">
      <w:pPr>
        <w:ind w:left="720"/>
        <w:rPr>
          <w:rFonts w:cs="Arial"/>
        </w:rPr>
      </w:pPr>
    </w:p>
    <w:p w14:paraId="3523D0A7" w14:textId="1CC200B2" w:rsidR="0057758B" w:rsidRPr="0057758B" w:rsidRDefault="0057758B" w:rsidP="00A0492D">
      <w:pPr>
        <w:pStyle w:val="NormalHangingIndent3"/>
        <w:spacing w:after="0"/>
        <w:jc w:val="left"/>
        <w:rPr>
          <w:rFonts w:ascii="Arial" w:hAnsi="Arial" w:cs="Arial"/>
          <w:bCs/>
          <w:color w:val="000000"/>
          <w:sz w:val="20"/>
          <w:szCs w:val="20"/>
        </w:rPr>
      </w:pPr>
      <w:r w:rsidRPr="0057758B">
        <w:rPr>
          <w:rFonts w:ascii="Arial" w:hAnsi="Arial" w:cs="Arial"/>
          <w:bCs/>
          <w:sz w:val="20"/>
          <w:szCs w:val="20"/>
        </w:rPr>
        <w:t>(v)</w:t>
      </w:r>
      <w:r w:rsidRPr="0057758B">
        <w:rPr>
          <w:rFonts w:ascii="Arial" w:hAnsi="Arial" w:cs="Arial"/>
          <w:bCs/>
          <w:sz w:val="20"/>
          <w:szCs w:val="20"/>
        </w:rPr>
        <w:tab/>
        <w:t xml:space="preserve">No Supplemental </w:t>
      </w:r>
      <w:r w:rsidRPr="0057758B">
        <w:rPr>
          <w:rFonts w:ascii="Arial" w:hAnsi="Arial" w:cs="Arial"/>
          <w:sz w:val="20"/>
          <w:szCs w:val="20"/>
        </w:rPr>
        <w:t>Loan</w:t>
      </w:r>
      <w:r w:rsidRPr="0057758B">
        <w:rPr>
          <w:rFonts w:ascii="Arial" w:hAnsi="Arial" w:cs="Arial"/>
          <w:bCs/>
          <w:sz w:val="20"/>
          <w:szCs w:val="20"/>
        </w:rPr>
        <w:t xml:space="preserve"> may cause the combined loan to value ratio of the Mortgaged Property after the making of that Supplemental </w:t>
      </w:r>
      <w:r w:rsidRPr="0057758B">
        <w:rPr>
          <w:rFonts w:ascii="Arial" w:hAnsi="Arial" w:cs="Arial"/>
          <w:sz w:val="20"/>
          <w:szCs w:val="20"/>
        </w:rPr>
        <w:t>Loan</w:t>
      </w:r>
      <w:r w:rsidRPr="0057758B">
        <w:rPr>
          <w:rFonts w:ascii="Arial" w:hAnsi="Arial" w:cs="Arial"/>
          <w:bCs/>
          <w:sz w:val="20"/>
          <w:szCs w:val="20"/>
        </w:rPr>
        <w:t xml:space="preserve"> to exceed the Maximum Combined LTV, as determined by Freddie Mac. </w:t>
      </w:r>
      <w:r w:rsidRPr="0057758B">
        <w:rPr>
          <w:rFonts w:ascii="Arial" w:hAnsi="Arial" w:cs="Arial"/>
          <w:bCs/>
          <w:color w:val="000000"/>
          <w:sz w:val="20"/>
          <w:szCs w:val="20"/>
        </w:rPr>
        <w:t xml:space="preserve">As used in this </w:t>
      </w:r>
      <w:r w:rsidR="002E12F5">
        <w:rPr>
          <w:rFonts w:ascii="Arial" w:hAnsi="Arial" w:cs="Arial"/>
          <w:bCs/>
          <w:color w:val="000000"/>
          <w:sz w:val="20"/>
          <w:szCs w:val="20"/>
        </w:rPr>
        <w:t>Section </w:t>
      </w:r>
      <w:r w:rsidRPr="0057758B">
        <w:rPr>
          <w:rFonts w:ascii="Arial" w:hAnsi="Arial" w:cs="Arial"/>
          <w:bCs/>
          <w:color w:val="000000"/>
          <w:sz w:val="20"/>
          <w:szCs w:val="20"/>
        </w:rPr>
        <w:t>11.11, “combined loan to value ratio” means, with respect to the Mortgaged Property, the ratio, expressed as a percentage, of:</w:t>
      </w:r>
    </w:p>
    <w:p w14:paraId="3A0875AD" w14:textId="77777777" w:rsidR="0057758B" w:rsidRPr="0057758B" w:rsidRDefault="0057758B" w:rsidP="00A0492D">
      <w:pPr>
        <w:ind w:left="720"/>
        <w:rPr>
          <w:rFonts w:cs="Arial"/>
        </w:rPr>
      </w:pPr>
    </w:p>
    <w:p w14:paraId="719753F9" w14:textId="77777777" w:rsidR="0057758B" w:rsidRPr="0057758B" w:rsidRDefault="0057758B" w:rsidP="00A0492D">
      <w:pPr>
        <w:pStyle w:val="NormalHangingIndent3"/>
        <w:spacing w:after="0"/>
        <w:ind w:left="2880"/>
        <w:jc w:val="left"/>
        <w:rPr>
          <w:rFonts w:ascii="Arial" w:hAnsi="Arial" w:cs="Arial"/>
          <w:bCs/>
          <w:color w:val="000000"/>
          <w:sz w:val="20"/>
          <w:szCs w:val="20"/>
        </w:rPr>
      </w:pPr>
      <w:r w:rsidRPr="0057758B">
        <w:rPr>
          <w:rFonts w:ascii="Arial" w:hAnsi="Arial" w:cs="Arial"/>
          <w:bCs/>
          <w:color w:val="000000"/>
          <w:sz w:val="20"/>
          <w:szCs w:val="20"/>
        </w:rPr>
        <w:t>(A)</w:t>
      </w:r>
      <w:r w:rsidRPr="0057758B">
        <w:rPr>
          <w:rFonts w:ascii="Arial" w:hAnsi="Arial" w:cs="Arial"/>
          <w:bCs/>
          <w:color w:val="000000"/>
          <w:sz w:val="20"/>
          <w:szCs w:val="20"/>
        </w:rPr>
        <w:tab/>
        <w:t>the aggregate outstanding principal balances of all of the following:</w:t>
      </w:r>
    </w:p>
    <w:p w14:paraId="557D6766" w14:textId="77777777" w:rsidR="0057758B" w:rsidRPr="0057758B" w:rsidRDefault="0057758B" w:rsidP="00A0492D">
      <w:pPr>
        <w:ind w:left="1440"/>
        <w:rPr>
          <w:rFonts w:cs="Arial"/>
        </w:rPr>
      </w:pPr>
    </w:p>
    <w:p w14:paraId="46F49C48" w14:textId="3BC1DF68" w:rsidR="0057758B" w:rsidRPr="0057758B" w:rsidRDefault="0057758B" w:rsidP="00A0492D">
      <w:pPr>
        <w:pStyle w:val="NormalHangingIndent3"/>
        <w:spacing w:after="0"/>
        <w:ind w:left="3600"/>
        <w:jc w:val="left"/>
        <w:rPr>
          <w:rFonts w:ascii="Arial" w:hAnsi="Arial" w:cs="Arial"/>
          <w:bCs/>
          <w:color w:val="000000"/>
          <w:sz w:val="20"/>
          <w:szCs w:val="20"/>
        </w:rPr>
      </w:pPr>
      <w:r w:rsidRPr="0057758B">
        <w:rPr>
          <w:rFonts w:ascii="Arial" w:hAnsi="Arial" w:cs="Arial"/>
          <w:bCs/>
          <w:color w:val="000000"/>
          <w:sz w:val="20"/>
          <w:szCs w:val="20"/>
        </w:rPr>
        <w:t>(</w:t>
      </w:r>
      <w:r w:rsidR="009E7D2C">
        <w:rPr>
          <w:rFonts w:ascii="Arial" w:hAnsi="Arial" w:cs="Arial"/>
          <w:bCs/>
          <w:color w:val="000000"/>
          <w:sz w:val="20"/>
          <w:szCs w:val="20"/>
        </w:rPr>
        <w:t>1</w:t>
      </w:r>
      <w:r w:rsidRPr="0057758B">
        <w:rPr>
          <w:rFonts w:ascii="Arial" w:hAnsi="Arial" w:cs="Arial"/>
          <w:bCs/>
          <w:color w:val="000000"/>
          <w:sz w:val="20"/>
          <w:szCs w:val="20"/>
        </w:rPr>
        <w:t>)</w:t>
      </w:r>
      <w:r w:rsidRPr="0057758B">
        <w:rPr>
          <w:rFonts w:ascii="Arial" w:hAnsi="Arial" w:cs="Arial"/>
          <w:bCs/>
          <w:color w:val="000000"/>
          <w:sz w:val="20"/>
          <w:szCs w:val="20"/>
        </w:rPr>
        <w:tab/>
        <w:t>the Indebtedness under this Loan Agreement,</w:t>
      </w:r>
    </w:p>
    <w:p w14:paraId="311C4309" w14:textId="77777777" w:rsidR="0057758B" w:rsidRPr="0057758B" w:rsidRDefault="0057758B" w:rsidP="00A0492D">
      <w:pPr>
        <w:pStyle w:val="NormalHangingIndent3"/>
        <w:spacing w:after="0"/>
        <w:ind w:left="1440" w:firstLine="0"/>
        <w:jc w:val="left"/>
        <w:rPr>
          <w:rFonts w:ascii="Arial" w:hAnsi="Arial" w:cs="Arial"/>
          <w:bCs/>
          <w:color w:val="000000"/>
          <w:sz w:val="20"/>
          <w:szCs w:val="20"/>
        </w:rPr>
      </w:pPr>
    </w:p>
    <w:p w14:paraId="244471AF" w14:textId="7BE0827A" w:rsidR="0057758B" w:rsidRPr="0057758B" w:rsidRDefault="0057758B" w:rsidP="00A0492D">
      <w:pPr>
        <w:pStyle w:val="NormalHangingIndent3"/>
        <w:spacing w:after="0"/>
        <w:ind w:left="3600"/>
        <w:jc w:val="left"/>
        <w:rPr>
          <w:rFonts w:ascii="Arial" w:hAnsi="Arial" w:cs="Arial"/>
          <w:bCs/>
          <w:color w:val="000000"/>
          <w:sz w:val="20"/>
          <w:szCs w:val="20"/>
        </w:rPr>
      </w:pPr>
      <w:r w:rsidRPr="0057758B">
        <w:rPr>
          <w:rFonts w:ascii="Arial" w:hAnsi="Arial" w:cs="Arial"/>
          <w:bCs/>
          <w:color w:val="000000"/>
          <w:sz w:val="20"/>
          <w:szCs w:val="20"/>
        </w:rPr>
        <w:t>(</w:t>
      </w:r>
      <w:r w:rsidR="009E7D2C">
        <w:rPr>
          <w:rFonts w:ascii="Arial" w:hAnsi="Arial" w:cs="Arial"/>
          <w:bCs/>
          <w:color w:val="000000"/>
          <w:sz w:val="20"/>
          <w:szCs w:val="20"/>
        </w:rPr>
        <w:t>2</w:t>
      </w:r>
      <w:r w:rsidRPr="0057758B">
        <w:rPr>
          <w:rFonts w:ascii="Arial" w:hAnsi="Arial" w:cs="Arial"/>
          <w:bCs/>
          <w:color w:val="000000"/>
          <w:sz w:val="20"/>
          <w:szCs w:val="20"/>
        </w:rPr>
        <w:t>)</w:t>
      </w:r>
      <w:r w:rsidRPr="0057758B">
        <w:rPr>
          <w:rFonts w:ascii="Arial" w:hAnsi="Arial" w:cs="Arial"/>
          <w:bCs/>
          <w:color w:val="000000"/>
          <w:sz w:val="20"/>
          <w:szCs w:val="20"/>
        </w:rPr>
        <w:tab/>
        <w:t>any “Indebtedness” as defined in any security instruments recorded against the Mortgaged Property, and</w:t>
      </w:r>
    </w:p>
    <w:p w14:paraId="70CA1000" w14:textId="77777777" w:rsidR="0057758B" w:rsidRPr="0057758B" w:rsidRDefault="0057758B" w:rsidP="00A0492D">
      <w:pPr>
        <w:pStyle w:val="NormalHangingIndent3"/>
        <w:spacing w:after="0"/>
        <w:ind w:left="3600"/>
        <w:jc w:val="left"/>
        <w:rPr>
          <w:rFonts w:ascii="Arial" w:hAnsi="Arial" w:cs="Arial"/>
          <w:bCs/>
          <w:color w:val="000000"/>
          <w:sz w:val="20"/>
          <w:szCs w:val="20"/>
        </w:rPr>
      </w:pPr>
    </w:p>
    <w:p w14:paraId="12D4D081" w14:textId="3CC10218" w:rsidR="0057758B" w:rsidRPr="0057758B" w:rsidRDefault="0057758B" w:rsidP="00A0492D">
      <w:pPr>
        <w:pStyle w:val="NormalHangingIndent3"/>
        <w:spacing w:after="0"/>
        <w:ind w:left="3600"/>
        <w:jc w:val="left"/>
        <w:rPr>
          <w:rFonts w:ascii="Arial" w:hAnsi="Arial" w:cs="Arial"/>
          <w:bCs/>
          <w:color w:val="000000"/>
          <w:sz w:val="20"/>
          <w:szCs w:val="20"/>
        </w:rPr>
      </w:pPr>
      <w:r w:rsidRPr="0057758B">
        <w:rPr>
          <w:rFonts w:ascii="Arial" w:hAnsi="Arial" w:cs="Arial"/>
          <w:bCs/>
          <w:color w:val="000000"/>
          <w:sz w:val="20"/>
          <w:szCs w:val="20"/>
        </w:rPr>
        <w:t>(</w:t>
      </w:r>
      <w:r w:rsidR="009E7D2C">
        <w:rPr>
          <w:rFonts w:ascii="Arial" w:hAnsi="Arial" w:cs="Arial"/>
          <w:bCs/>
          <w:color w:val="000000"/>
          <w:sz w:val="20"/>
          <w:szCs w:val="20"/>
        </w:rPr>
        <w:t>3</w:t>
      </w:r>
      <w:r w:rsidRPr="0057758B">
        <w:rPr>
          <w:rFonts w:ascii="Arial" w:hAnsi="Arial" w:cs="Arial"/>
          <w:bCs/>
          <w:color w:val="000000"/>
          <w:sz w:val="20"/>
          <w:szCs w:val="20"/>
        </w:rPr>
        <w:t>)</w:t>
      </w:r>
      <w:r w:rsidRPr="0057758B">
        <w:rPr>
          <w:rFonts w:ascii="Arial" w:hAnsi="Arial" w:cs="Arial"/>
          <w:bCs/>
          <w:color w:val="000000"/>
          <w:sz w:val="20"/>
          <w:szCs w:val="20"/>
        </w:rPr>
        <w:tab/>
        <w:t xml:space="preserve">the proposed “Indebtedness” for any Supplemental </w:t>
      </w:r>
      <w:r w:rsidRPr="0057758B">
        <w:rPr>
          <w:rFonts w:ascii="Arial" w:hAnsi="Arial" w:cs="Arial"/>
          <w:sz w:val="20"/>
          <w:szCs w:val="20"/>
        </w:rPr>
        <w:t>Loan</w:t>
      </w:r>
      <w:r w:rsidRPr="0057758B">
        <w:rPr>
          <w:rFonts w:ascii="Arial" w:hAnsi="Arial" w:cs="Arial"/>
          <w:bCs/>
          <w:color w:val="000000"/>
          <w:sz w:val="20"/>
          <w:szCs w:val="20"/>
        </w:rPr>
        <w:t>,</w:t>
      </w:r>
    </w:p>
    <w:p w14:paraId="094FAC20" w14:textId="77777777" w:rsidR="0057758B" w:rsidRPr="0057758B" w:rsidRDefault="0057758B" w:rsidP="00A0492D">
      <w:pPr>
        <w:pStyle w:val="NormalHangingIndent3"/>
        <w:spacing w:after="0"/>
        <w:ind w:left="3600"/>
        <w:jc w:val="left"/>
        <w:rPr>
          <w:rFonts w:ascii="Arial" w:hAnsi="Arial" w:cs="Arial"/>
          <w:bCs/>
          <w:color w:val="000000"/>
          <w:sz w:val="20"/>
          <w:szCs w:val="20"/>
        </w:rPr>
      </w:pPr>
    </w:p>
    <w:p w14:paraId="508AF122" w14:textId="77777777" w:rsidR="0057758B" w:rsidRPr="0057758B" w:rsidRDefault="0057758B" w:rsidP="00A0492D">
      <w:pPr>
        <w:pStyle w:val="NormalHangingIndent3"/>
        <w:spacing w:after="0"/>
        <w:ind w:left="2880"/>
        <w:jc w:val="left"/>
        <w:rPr>
          <w:rFonts w:ascii="Arial" w:hAnsi="Arial" w:cs="Arial"/>
          <w:bCs/>
          <w:color w:val="000000"/>
          <w:sz w:val="20"/>
          <w:szCs w:val="20"/>
          <w:u w:val="single"/>
        </w:rPr>
      </w:pPr>
      <w:r w:rsidRPr="0057758B">
        <w:rPr>
          <w:rFonts w:ascii="Arial" w:hAnsi="Arial" w:cs="Arial"/>
          <w:bCs/>
          <w:color w:val="000000"/>
          <w:sz w:val="20"/>
          <w:szCs w:val="20"/>
          <w:u w:val="single"/>
        </w:rPr>
        <w:t>to</w:t>
      </w:r>
    </w:p>
    <w:p w14:paraId="7D519750" w14:textId="77777777" w:rsidR="0057758B" w:rsidRPr="0057758B" w:rsidRDefault="0057758B" w:rsidP="00A0492D">
      <w:pPr>
        <w:pStyle w:val="NormalHangingIndent3"/>
        <w:spacing w:after="0"/>
        <w:ind w:left="2880"/>
        <w:jc w:val="left"/>
        <w:rPr>
          <w:rFonts w:ascii="Arial" w:hAnsi="Arial" w:cs="Arial"/>
          <w:bCs/>
          <w:color w:val="000000"/>
          <w:sz w:val="20"/>
          <w:szCs w:val="20"/>
          <w:u w:val="single"/>
        </w:rPr>
      </w:pPr>
    </w:p>
    <w:p w14:paraId="3E26E2D5" w14:textId="77777777" w:rsidR="0057758B" w:rsidRPr="0057758B" w:rsidRDefault="0057758B" w:rsidP="00A0492D">
      <w:pPr>
        <w:pStyle w:val="NormalHangingIndent3"/>
        <w:spacing w:after="0"/>
        <w:ind w:left="2880"/>
        <w:jc w:val="left"/>
        <w:rPr>
          <w:rFonts w:ascii="Arial" w:hAnsi="Arial" w:cs="Arial"/>
          <w:bCs/>
          <w:color w:val="000000"/>
          <w:sz w:val="20"/>
          <w:szCs w:val="20"/>
        </w:rPr>
      </w:pPr>
      <w:r w:rsidRPr="0057758B">
        <w:rPr>
          <w:rFonts w:ascii="Arial" w:hAnsi="Arial" w:cs="Arial"/>
          <w:bCs/>
          <w:color w:val="000000"/>
          <w:sz w:val="20"/>
          <w:szCs w:val="20"/>
        </w:rPr>
        <w:t>(B)</w:t>
      </w:r>
      <w:r w:rsidRPr="0057758B">
        <w:rPr>
          <w:rFonts w:ascii="Arial" w:hAnsi="Arial" w:cs="Arial"/>
          <w:bCs/>
          <w:color w:val="000000"/>
          <w:sz w:val="20"/>
          <w:szCs w:val="20"/>
        </w:rPr>
        <w:tab/>
        <w:t>the value of the Mortgaged Property.</w:t>
      </w:r>
    </w:p>
    <w:p w14:paraId="74D8C823" w14:textId="77777777" w:rsidR="0057758B" w:rsidRPr="0057758B" w:rsidRDefault="0057758B" w:rsidP="00A0492D">
      <w:pPr>
        <w:pStyle w:val="NormalHangingIndent2"/>
        <w:spacing w:after="0"/>
        <w:jc w:val="left"/>
        <w:rPr>
          <w:rFonts w:ascii="Arial" w:hAnsi="Arial" w:cs="Arial"/>
          <w:sz w:val="20"/>
          <w:szCs w:val="20"/>
        </w:rPr>
      </w:pPr>
    </w:p>
    <w:p w14:paraId="3B82E0D9" w14:textId="59A16A54" w:rsidR="0057758B" w:rsidRPr="0057758B" w:rsidRDefault="0057758B" w:rsidP="00A0492D">
      <w:pPr>
        <w:ind w:left="2160"/>
        <w:rPr>
          <w:rFonts w:cs="Arial"/>
          <w:bCs/>
          <w:color w:val="000000"/>
        </w:rPr>
      </w:pPr>
      <w:r w:rsidRPr="0057758B">
        <w:rPr>
          <w:rFonts w:cs="Arial"/>
          <w:bCs/>
          <w:color w:val="000000"/>
        </w:rPr>
        <w:t xml:space="preserve">In addition, no Supplemental Loan may cause the aggregate combined loan to value ratio of the Mortgaged Property and the Related Mortgaged Properties after the making of that Supplemental Loan to exceed the Maximum Aggregate Combined LTV, as determined by Freddie Mac. As used in this </w:t>
      </w:r>
      <w:r w:rsidR="002E12F5">
        <w:rPr>
          <w:rFonts w:cs="Arial"/>
          <w:bCs/>
          <w:color w:val="000000"/>
        </w:rPr>
        <w:t>Section </w:t>
      </w:r>
      <w:r w:rsidRPr="0057758B">
        <w:rPr>
          <w:rFonts w:cs="Arial"/>
          <w:bCs/>
          <w:color w:val="000000"/>
        </w:rPr>
        <w:t>11.11, “aggregate combined loan to value ratio” means the ratio, expressed as a percentage of:</w:t>
      </w:r>
    </w:p>
    <w:p w14:paraId="26F8C1AC" w14:textId="77777777" w:rsidR="0057758B" w:rsidRPr="0057758B" w:rsidRDefault="0057758B" w:rsidP="00A0492D">
      <w:pPr>
        <w:ind w:left="2160"/>
        <w:rPr>
          <w:rFonts w:cs="Arial"/>
          <w:bCs/>
          <w:color w:val="000000"/>
        </w:rPr>
      </w:pPr>
    </w:p>
    <w:p w14:paraId="302A98FC" w14:textId="126DCBB8" w:rsidR="0057758B" w:rsidRPr="0057758B" w:rsidRDefault="0057758B" w:rsidP="00A0492D">
      <w:pPr>
        <w:ind w:left="2880" w:hanging="720"/>
        <w:rPr>
          <w:rFonts w:cs="Arial"/>
          <w:bCs/>
          <w:color w:val="000000"/>
        </w:rPr>
      </w:pPr>
      <w:r w:rsidRPr="0057758B">
        <w:rPr>
          <w:rFonts w:cs="Arial"/>
          <w:bCs/>
          <w:color w:val="000000"/>
        </w:rPr>
        <w:t>(</w:t>
      </w:r>
      <w:r w:rsidR="009E7D2C">
        <w:rPr>
          <w:rFonts w:cs="Arial"/>
          <w:bCs/>
          <w:color w:val="000000"/>
        </w:rPr>
        <w:t>C</w:t>
      </w:r>
      <w:r w:rsidRPr="0057758B">
        <w:rPr>
          <w:rFonts w:cs="Arial"/>
          <w:bCs/>
          <w:color w:val="000000"/>
        </w:rPr>
        <w:t>)</w:t>
      </w:r>
      <w:r w:rsidRPr="0057758B">
        <w:rPr>
          <w:rFonts w:cs="Arial"/>
          <w:bCs/>
          <w:color w:val="000000"/>
        </w:rPr>
        <w:tab/>
        <w:t xml:space="preserve"> the aggregate outstanding principal balances of all of the following:</w:t>
      </w:r>
    </w:p>
    <w:p w14:paraId="6D3BC98B" w14:textId="77777777" w:rsidR="0057758B" w:rsidRPr="0057758B" w:rsidRDefault="0057758B" w:rsidP="00A0492D">
      <w:pPr>
        <w:ind w:left="2880" w:hanging="720"/>
        <w:rPr>
          <w:rFonts w:cs="Arial"/>
          <w:bCs/>
          <w:color w:val="000000"/>
        </w:rPr>
      </w:pPr>
    </w:p>
    <w:p w14:paraId="29AFDD12" w14:textId="6DE75B55" w:rsidR="0057758B" w:rsidRPr="0057758B" w:rsidRDefault="0057758B" w:rsidP="00A0492D">
      <w:pPr>
        <w:ind w:left="3600" w:hanging="720"/>
        <w:rPr>
          <w:rFonts w:cs="Arial"/>
          <w:bCs/>
          <w:color w:val="000000"/>
        </w:rPr>
      </w:pPr>
      <w:r w:rsidRPr="0057758B">
        <w:rPr>
          <w:rFonts w:cs="Arial"/>
          <w:bCs/>
          <w:color w:val="000000"/>
        </w:rPr>
        <w:lastRenderedPageBreak/>
        <w:t>(</w:t>
      </w:r>
      <w:r w:rsidR="009E7D2C">
        <w:rPr>
          <w:rFonts w:cs="Arial"/>
          <w:bCs/>
          <w:color w:val="000000"/>
        </w:rPr>
        <w:t>1</w:t>
      </w:r>
      <w:r w:rsidRPr="0057758B">
        <w:rPr>
          <w:rFonts w:cs="Arial"/>
          <w:bCs/>
          <w:color w:val="000000"/>
        </w:rPr>
        <w:t>)</w:t>
      </w:r>
      <w:r w:rsidRPr="0057758B">
        <w:rPr>
          <w:rFonts w:cs="Arial"/>
          <w:bCs/>
          <w:color w:val="000000"/>
        </w:rPr>
        <w:tab/>
        <w:t>the sum of the Indebtedness under this Loan Agreement and the Related Indebtedness under the Related Loan Agreements,</w:t>
      </w:r>
    </w:p>
    <w:p w14:paraId="5AC0D3E1" w14:textId="77777777" w:rsidR="0057758B" w:rsidRPr="0057758B" w:rsidRDefault="0057758B" w:rsidP="00A0492D">
      <w:pPr>
        <w:ind w:left="3600" w:hanging="720"/>
        <w:rPr>
          <w:rFonts w:cs="Arial"/>
          <w:bCs/>
          <w:color w:val="000000"/>
        </w:rPr>
      </w:pPr>
    </w:p>
    <w:p w14:paraId="328D3E7F" w14:textId="543EA4F3" w:rsidR="0057758B" w:rsidRPr="0057758B" w:rsidRDefault="0057758B" w:rsidP="00A0492D">
      <w:pPr>
        <w:ind w:left="3600" w:hanging="720"/>
        <w:rPr>
          <w:rFonts w:cs="Arial"/>
          <w:bCs/>
          <w:color w:val="000000"/>
        </w:rPr>
      </w:pPr>
      <w:r w:rsidRPr="0057758B">
        <w:rPr>
          <w:rFonts w:cs="Arial"/>
          <w:bCs/>
          <w:color w:val="000000"/>
        </w:rPr>
        <w:t>(</w:t>
      </w:r>
      <w:r w:rsidR="009E7D2C">
        <w:rPr>
          <w:rFonts w:cs="Arial"/>
          <w:bCs/>
          <w:color w:val="000000"/>
        </w:rPr>
        <w:t>2</w:t>
      </w:r>
      <w:r w:rsidRPr="0057758B">
        <w:rPr>
          <w:rFonts w:cs="Arial"/>
          <w:bCs/>
          <w:color w:val="000000"/>
        </w:rPr>
        <w:t>)</w:t>
      </w:r>
      <w:r w:rsidRPr="0057758B">
        <w:rPr>
          <w:rFonts w:cs="Arial"/>
          <w:bCs/>
          <w:color w:val="000000"/>
        </w:rPr>
        <w:tab/>
        <w:t>any other “Indebtedness” as defined in any security instruments recorded against the Mortgaged Property or the Related Mortgaged Properties that is not included in clause (I) above, and</w:t>
      </w:r>
    </w:p>
    <w:p w14:paraId="6FA36D38" w14:textId="77777777" w:rsidR="0057758B" w:rsidRPr="0057758B" w:rsidRDefault="0057758B" w:rsidP="00A0492D">
      <w:pPr>
        <w:ind w:left="2880"/>
        <w:rPr>
          <w:rFonts w:cs="Arial"/>
          <w:bCs/>
          <w:color w:val="000000"/>
        </w:rPr>
      </w:pPr>
    </w:p>
    <w:p w14:paraId="6BA1EA70" w14:textId="266BAF10" w:rsidR="0057758B" w:rsidRPr="0057758B" w:rsidRDefault="0057758B" w:rsidP="00A0492D">
      <w:pPr>
        <w:ind w:left="3600" w:hanging="720"/>
        <w:rPr>
          <w:rFonts w:cs="Arial"/>
          <w:bCs/>
          <w:color w:val="000000"/>
        </w:rPr>
      </w:pPr>
      <w:r w:rsidRPr="0057758B">
        <w:rPr>
          <w:rFonts w:cs="Arial"/>
          <w:bCs/>
          <w:color w:val="000000"/>
        </w:rPr>
        <w:t>(</w:t>
      </w:r>
      <w:r w:rsidR="009E7D2C">
        <w:rPr>
          <w:rFonts w:cs="Arial"/>
          <w:bCs/>
          <w:color w:val="000000"/>
        </w:rPr>
        <w:t>3</w:t>
      </w:r>
      <w:r w:rsidRPr="0057758B">
        <w:rPr>
          <w:rFonts w:cs="Arial"/>
          <w:bCs/>
          <w:color w:val="000000"/>
        </w:rPr>
        <w:t>)</w:t>
      </w:r>
      <w:r w:rsidRPr="0057758B">
        <w:rPr>
          <w:rFonts w:cs="Arial"/>
          <w:bCs/>
          <w:color w:val="000000"/>
        </w:rPr>
        <w:tab/>
        <w:t xml:space="preserve">the proposed “Indebtedness” for any Supplemental Loan being made with respect to the Mortgaged Property or the Related Mortgaged Properties, </w:t>
      </w:r>
    </w:p>
    <w:p w14:paraId="3DABB683" w14:textId="77777777" w:rsidR="0057758B" w:rsidRPr="009E7D2C" w:rsidRDefault="0057758B" w:rsidP="00A0492D">
      <w:pPr>
        <w:ind w:left="3600" w:hanging="1440"/>
        <w:rPr>
          <w:rFonts w:cs="Arial"/>
          <w:bCs/>
          <w:color w:val="000000"/>
          <w:u w:val="single"/>
        </w:rPr>
      </w:pPr>
      <w:r w:rsidRPr="009E7D2C">
        <w:rPr>
          <w:rFonts w:cs="Arial"/>
          <w:bCs/>
          <w:color w:val="000000"/>
          <w:u w:val="single"/>
        </w:rPr>
        <w:t>to</w:t>
      </w:r>
    </w:p>
    <w:p w14:paraId="7F8581BF" w14:textId="77777777" w:rsidR="0057758B" w:rsidRPr="0057758B" w:rsidRDefault="0057758B" w:rsidP="00A0492D">
      <w:pPr>
        <w:ind w:left="3600" w:hanging="1440"/>
        <w:rPr>
          <w:rFonts w:cs="Arial"/>
          <w:bCs/>
          <w:color w:val="000000"/>
        </w:rPr>
      </w:pPr>
    </w:p>
    <w:p w14:paraId="3FCF8B80" w14:textId="31F3F2E4" w:rsidR="0057758B" w:rsidRPr="0057758B" w:rsidRDefault="0057758B" w:rsidP="00A0492D">
      <w:pPr>
        <w:ind w:left="2880" w:hanging="720"/>
        <w:rPr>
          <w:rFonts w:cs="Arial"/>
          <w:bCs/>
          <w:color w:val="000000"/>
        </w:rPr>
      </w:pPr>
      <w:r w:rsidRPr="0057758B">
        <w:rPr>
          <w:rFonts w:cs="Arial"/>
          <w:bCs/>
          <w:color w:val="000000"/>
        </w:rPr>
        <w:t>(</w:t>
      </w:r>
      <w:r w:rsidR="009E7D2C">
        <w:rPr>
          <w:rFonts w:cs="Arial"/>
          <w:bCs/>
          <w:color w:val="000000"/>
        </w:rPr>
        <w:t>D</w:t>
      </w:r>
      <w:r w:rsidRPr="0057758B">
        <w:rPr>
          <w:rFonts w:cs="Arial"/>
          <w:bCs/>
          <w:color w:val="000000"/>
        </w:rPr>
        <w:t>)</w:t>
      </w:r>
      <w:r w:rsidRPr="0057758B">
        <w:rPr>
          <w:rFonts w:cs="Arial"/>
          <w:bCs/>
          <w:color w:val="000000"/>
        </w:rPr>
        <w:tab/>
        <w:t>the aggregate value of the Mortgaged Property and Related Mortgaged Properties.</w:t>
      </w:r>
    </w:p>
    <w:p w14:paraId="182784F2" w14:textId="77777777" w:rsidR="0057758B" w:rsidRPr="0057758B" w:rsidRDefault="0057758B" w:rsidP="00A0492D">
      <w:pPr>
        <w:pStyle w:val="NormalHangingIndent3"/>
        <w:spacing w:after="0"/>
        <w:ind w:left="2880"/>
        <w:jc w:val="left"/>
        <w:rPr>
          <w:rFonts w:ascii="Arial" w:hAnsi="Arial" w:cs="Arial"/>
          <w:b/>
          <w:color w:val="000000"/>
          <w:sz w:val="20"/>
          <w:szCs w:val="20"/>
          <w:u w:val="double"/>
        </w:rPr>
      </w:pPr>
    </w:p>
    <w:p w14:paraId="3F23EA6B" w14:textId="2079052A" w:rsidR="0057758B" w:rsidRPr="0057758B" w:rsidRDefault="0057758B" w:rsidP="00A0492D">
      <w:pPr>
        <w:pStyle w:val="NormalHangingIndent3"/>
        <w:spacing w:after="0"/>
        <w:ind w:left="1440" w:firstLine="0"/>
        <w:jc w:val="left"/>
        <w:rPr>
          <w:rFonts w:ascii="Arial" w:hAnsi="Arial" w:cs="Arial"/>
          <w:color w:val="000000"/>
          <w:sz w:val="20"/>
          <w:szCs w:val="20"/>
        </w:rPr>
      </w:pPr>
      <w:r w:rsidRPr="0057758B">
        <w:rPr>
          <w:rFonts w:ascii="Arial" w:hAnsi="Arial" w:cs="Arial"/>
          <w:color w:val="000000"/>
          <w:sz w:val="20"/>
          <w:szCs w:val="20"/>
        </w:rPr>
        <w:t>Freddie Mac will determine the combined loan to value ratio of the Mortgaged Property</w:t>
      </w:r>
      <w:r w:rsidRPr="0057758B">
        <w:rPr>
          <w:rFonts w:ascii="Arial" w:hAnsi="Arial" w:cs="Arial"/>
          <w:bCs/>
          <w:color w:val="000000"/>
          <w:sz w:val="20"/>
          <w:szCs w:val="20"/>
        </w:rPr>
        <w:t xml:space="preserve"> and the aggregate combined loan to value ratio of the Mortgaged Property and Related Mortgaged Properties</w:t>
      </w:r>
      <w:r w:rsidRPr="0057758B">
        <w:rPr>
          <w:rFonts w:ascii="Arial" w:hAnsi="Arial" w:cs="Arial"/>
          <w:color w:val="000000"/>
          <w:sz w:val="20"/>
          <w:szCs w:val="20"/>
        </w:rPr>
        <w:t xml:space="preserve"> based on its underwriting. Borrower will provide Freddie Mac such financial statements and other information Freddie Mac may require to make these determinations. In addition, Freddie Mac, at Borrower’s expense, may obtain MAI appraisals of the Mortgaged Property </w:t>
      </w:r>
      <w:r w:rsidRPr="0057758B">
        <w:rPr>
          <w:rFonts w:ascii="Arial" w:hAnsi="Arial" w:cs="Arial"/>
          <w:bCs/>
          <w:color w:val="000000"/>
          <w:sz w:val="20"/>
          <w:szCs w:val="20"/>
        </w:rPr>
        <w:t>and the Related Mortgaged Properties</w:t>
      </w:r>
      <w:r w:rsidRPr="0057758B">
        <w:rPr>
          <w:rFonts w:ascii="Arial" w:hAnsi="Arial" w:cs="Arial"/>
          <w:color w:val="000000"/>
          <w:sz w:val="20"/>
          <w:szCs w:val="20"/>
        </w:rPr>
        <w:t xml:space="preserve"> in order to assist Freddie Mac in making the determinations under this </w:t>
      </w:r>
      <w:r w:rsidR="002E12F5">
        <w:rPr>
          <w:rFonts w:ascii="Arial" w:hAnsi="Arial" w:cs="Arial"/>
          <w:color w:val="000000"/>
          <w:sz w:val="20"/>
          <w:szCs w:val="20"/>
        </w:rPr>
        <w:t>Section </w:t>
      </w:r>
      <w:r w:rsidRPr="0057758B">
        <w:rPr>
          <w:rFonts w:ascii="Arial" w:hAnsi="Arial" w:cs="Arial"/>
          <w:color w:val="000000"/>
          <w:sz w:val="20"/>
          <w:szCs w:val="20"/>
        </w:rPr>
        <w:t xml:space="preserve">11.11. If Freddie Mac requires an appraisal, then the value of the Mortgaged Property </w:t>
      </w:r>
      <w:r w:rsidRPr="0057758B">
        <w:rPr>
          <w:rFonts w:ascii="Arial" w:hAnsi="Arial" w:cs="Arial"/>
          <w:bCs/>
          <w:color w:val="000000"/>
          <w:sz w:val="20"/>
          <w:szCs w:val="20"/>
        </w:rPr>
        <w:t>and the Related Mortgaged Properties</w:t>
      </w:r>
      <w:r w:rsidRPr="0057758B">
        <w:rPr>
          <w:rFonts w:ascii="Arial" w:hAnsi="Arial" w:cs="Arial"/>
          <w:color w:val="000000"/>
          <w:sz w:val="20"/>
          <w:szCs w:val="20"/>
        </w:rPr>
        <w:t xml:space="preserve"> that will be used to determine whether the Maximum Combined LTV </w:t>
      </w:r>
      <w:r w:rsidRPr="0057758B">
        <w:rPr>
          <w:rFonts w:ascii="Arial" w:hAnsi="Arial" w:cs="Arial"/>
          <w:bCs/>
          <w:color w:val="000000"/>
          <w:sz w:val="20"/>
          <w:szCs w:val="20"/>
        </w:rPr>
        <w:t xml:space="preserve">and the Maximum Aggregate Combined LTV </w:t>
      </w:r>
      <w:r w:rsidRPr="0057758B">
        <w:rPr>
          <w:rFonts w:ascii="Arial" w:hAnsi="Arial" w:cs="Arial"/>
          <w:color w:val="000000"/>
          <w:sz w:val="20"/>
          <w:szCs w:val="20"/>
        </w:rPr>
        <w:t>has been met will be the lesser of the appraised value set forth in such appraisal or the value of the Mortgaged Property as determined by Freddie Mac.</w:t>
      </w:r>
    </w:p>
    <w:p w14:paraId="5FE4CEAE" w14:textId="0F444ABB" w:rsidR="0057758B" w:rsidRDefault="0057758B" w:rsidP="0057758B">
      <w:pPr>
        <w:pStyle w:val="NormalHangingIndent3"/>
        <w:spacing w:after="0"/>
        <w:ind w:left="720" w:firstLine="0"/>
        <w:jc w:val="left"/>
        <w:rPr>
          <w:rFonts w:ascii="Arial" w:hAnsi="Arial" w:cs="Arial"/>
          <w:color w:val="000000"/>
          <w:sz w:val="20"/>
          <w:szCs w:val="20"/>
        </w:rPr>
      </w:pPr>
    </w:p>
    <w:p w14:paraId="67D9D1CF" w14:textId="18E28AD7" w:rsidR="0057758B" w:rsidRPr="0057758B" w:rsidRDefault="00BF5E83" w:rsidP="0057758B">
      <w:pPr>
        <w:pStyle w:val="NormalHangingIndent3"/>
        <w:spacing w:after="0"/>
        <w:ind w:left="720"/>
        <w:jc w:val="left"/>
        <w:rPr>
          <w:rFonts w:ascii="Arial" w:hAnsi="Arial" w:cs="Arial"/>
          <w:color w:val="000000"/>
          <w:sz w:val="20"/>
          <w:szCs w:val="20"/>
        </w:rPr>
      </w:pPr>
      <w:r>
        <w:rPr>
          <w:rFonts w:ascii="Arial" w:hAnsi="Arial" w:cs="Arial"/>
          <w:color w:val="000000"/>
          <w:sz w:val="20"/>
          <w:szCs w:val="20"/>
        </w:rPr>
        <w:t>K</w:t>
      </w:r>
      <w:r w:rsidR="0057758B" w:rsidRPr="0057758B">
        <w:rPr>
          <w:rFonts w:ascii="Arial" w:hAnsi="Arial" w:cs="Arial"/>
          <w:color w:val="000000"/>
          <w:sz w:val="20"/>
          <w:szCs w:val="20"/>
        </w:rPr>
        <w:t>.</w:t>
      </w:r>
      <w:r w:rsidR="0057758B" w:rsidRPr="0057758B">
        <w:rPr>
          <w:rFonts w:ascii="Arial" w:hAnsi="Arial" w:cs="Arial"/>
          <w:sz w:val="20"/>
          <w:szCs w:val="20"/>
        </w:rPr>
        <w:tab/>
      </w:r>
      <w:r w:rsidR="002E12F5">
        <w:rPr>
          <w:rFonts w:ascii="Arial" w:hAnsi="Arial" w:cs="Arial"/>
          <w:sz w:val="20"/>
          <w:szCs w:val="20"/>
        </w:rPr>
        <w:t>Section </w:t>
      </w:r>
      <w:r w:rsidR="0057758B" w:rsidRPr="0057758B">
        <w:rPr>
          <w:rFonts w:ascii="Arial" w:hAnsi="Arial" w:cs="Arial"/>
          <w:sz w:val="20"/>
          <w:szCs w:val="20"/>
        </w:rPr>
        <w:t>11.11(b)(xviii) is deleted and replaced with the following:</w:t>
      </w:r>
    </w:p>
    <w:p w14:paraId="2A52E1EB" w14:textId="77777777" w:rsidR="0057758B" w:rsidRPr="0057758B" w:rsidRDefault="0057758B" w:rsidP="0057758B">
      <w:pPr>
        <w:ind w:left="720" w:hanging="720"/>
        <w:rPr>
          <w:rFonts w:cs="Arial"/>
        </w:rPr>
      </w:pPr>
    </w:p>
    <w:p w14:paraId="48B1C78B" w14:textId="77777777" w:rsidR="0057758B" w:rsidRPr="0057758B" w:rsidRDefault="0057758B" w:rsidP="0057758B">
      <w:pPr>
        <w:ind w:left="720"/>
        <w:rPr>
          <w:rFonts w:cs="Arial"/>
        </w:rPr>
      </w:pPr>
      <w:r w:rsidRPr="0057758B">
        <w:rPr>
          <w:rFonts w:cs="Arial"/>
        </w:rPr>
        <w:t>(xviii)</w:t>
      </w:r>
      <w:r w:rsidRPr="0057758B">
        <w:rPr>
          <w:rFonts w:cs="Arial"/>
        </w:rPr>
        <w:tab/>
        <w:t>If required by Freddie Mac at its discretion:</w:t>
      </w:r>
    </w:p>
    <w:p w14:paraId="6740EACC" w14:textId="77777777" w:rsidR="0057758B" w:rsidRPr="0057758B" w:rsidRDefault="0057758B" w:rsidP="0057758B">
      <w:pPr>
        <w:ind w:left="720" w:hanging="720"/>
        <w:rPr>
          <w:rFonts w:cs="Arial"/>
          <w:b/>
          <w:u w:val="single"/>
        </w:rPr>
      </w:pPr>
    </w:p>
    <w:p w14:paraId="708E4252" w14:textId="77777777" w:rsidR="0057758B" w:rsidRPr="0057758B" w:rsidRDefault="0057758B" w:rsidP="0057758B">
      <w:pPr>
        <w:ind w:left="2160" w:hanging="720"/>
        <w:rPr>
          <w:rFonts w:cs="Arial"/>
        </w:rPr>
      </w:pPr>
      <w:r w:rsidRPr="0057758B">
        <w:rPr>
          <w:rFonts w:cs="Arial"/>
        </w:rPr>
        <w:t xml:space="preserve">(A) </w:t>
      </w:r>
      <w:r w:rsidRPr="0057758B">
        <w:rPr>
          <w:rFonts w:cs="Arial"/>
        </w:rPr>
        <w:tab/>
        <w:t xml:space="preserve">All applicable parties must enter into documentation acceptable to Freddie Mac to effectively cross-collateralize and cross-default each Supplemental Loan with any or all of the Loan, the Related Loans, any Senior Indebtedness, and/or any supplemental loans or senior loans with respect to the Loan or any of the Related Loans. </w:t>
      </w:r>
    </w:p>
    <w:p w14:paraId="1C933DC6" w14:textId="77777777" w:rsidR="0057758B" w:rsidRPr="0057758B" w:rsidRDefault="0057758B" w:rsidP="0057758B">
      <w:pPr>
        <w:rPr>
          <w:rFonts w:cs="Arial"/>
        </w:rPr>
      </w:pPr>
    </w:p>
    <w:p w14:paraId="5EF5291F" w14:textId="77777777" w:rsidR="0057758B" w:rsidRPr="0057758B" w:rsidRDefault="0057758B" w:rsidP="0057758B">
      <w:pPr>
        <w:ind w:left="2160" w:hanging="720"/>
        <w:rPr>
          <w:rFonts w:cs="Arial"/>
        </w:rPr>
      </w:pPr>
      <w:r w:rsidRPr="0057758B">
        <w:rPr>
          <w:rFonts w:cs="Arial"/>
        </w:rPr>
        <w:t>(B)</w:t>
      </w:r>
      <w:r w:rsidRPr="0057758B">
        <w:rPr>
          <w:rFonts w:cs="Arial"/>
        </w:rPr>
        <w:tab/>
        <w:t>The loan documents evidencing any Supplemental Loan must be modified as required by Freddie Mac to reflect the cross-collateralization and cross-default described above.</w:t>
      </w:r>
    </w:p>
    <w:p w14:paraId="7E3762D3" w14:textId="77777777" w:rsidR="0057758B" w:rsidRPr="0057758B" w:rsidRDefault="0057758B" w:rsidP="0057758B">
      <w:pPr>
        <w:ind w:left="2160" w:hanging="720"/>
        <w:rPr>
          <w:rFonts w:cs="Arial"/>
        </w:rPr>
      </w:pPr>
    </w:p>
    <w:p w14:paraId="2DD72D51" w14:textId="77777777" w:rsidR="0057758B" w:rsidRPr="0057758B" w:rsidRDefault="0057758B" w:rsidP="0057758B">
      <w:pPr>
        <w:ind w:left="2160" w:hanging="720"/>
        <w:rPr>
          <w:rFonts w:cs="Arial"/>
        </w:rPr>
      </w:pPr>
      <w:r w:rsidRPr="0057758B">
        <w:rPr>
          <w:rFonts w:cs="Arial"/>
        </w:rPr>
        <w:t>(C)</w:t>
      </w:r>
      <w:r w:rsidRPr="0057758B">
        <w:rPr>
          <w:rFonts w:cs="Arial"/>
        </w:rPr>
        <w:tab/>
        <w:t>Freddie Mac’s then-current cross-collateralization requirements with respect to title insurance, opinions of counsel and other legal due diligence must be satisfied.</w:t>
      </w:r>
    </w:p>
    <w:p w14:paraId="32F24F39" w14:textId="77777777" w:rsidR="0057758B" w:rsidRPr="0057758B" w:rsidRDefault="0057758B" w:rsidP="0057758B">
      <w:pPr>
        <w:ind w:left="2160" w:hanging="720"/>
        <w:rPr>
          <w:rFonts w:cs="Arial"/>
          <w:b/>
          <w:u w:val="single"/>
        </w:rPr>
      </w:pPr>
    </w:p>
    <w:p w14:paraId="14D60C89" w14:textId="77777777" w:rsidR="0057758B" w:rsidRPr="0057758B" w:rsidRDefault="0057758B" w:rsidP="0057758B">
      <w:pPr>
        <w:ind w:left="2160" w:hanging="720"/>
        <w:rPr>
          <w:rFonts w:cs="Arial"/>
        </w:rPr>
      </w:pPr>
      <w:r w:rsidRPr="0057758B">
        <w:rPr>
          <w:rFonts w:cs="Arial"/>
        </w:rPr>
        <w:t>(D)</w:t>
      </w:r>
      <w:r w:rsidRPr="0057758B">
        <w:rPr>
          <w:rFonts w:cs="Arial"/>
        </w:rPr>
        <w:tab/>
        <w:t>The title insurance policy for each Supplemental Loan must include the following endorsements (to the extent available in the applicable jurisdiction):</w:t>
      </w:r>
    </w:p>
    <w:p w14:paraId="72AB9A8A" w14:textId="77777777" w:rsidR="0057758B" w:rsidRPr="0057758B" w:rsidRDefault="0057758B" w:rsidP="0057758B">
      <w:pPr>
        <w:rPr>
          <w:rFonts w:cs="Arial"/>
        </w:rPr>
      </w:pPr>
    </w:p>
    <w:p w14:paraId="3C5497DE" w14:textId="683BBA96" w:rsidR="0057758B" w:rsidRPr="0057758B" w:rsidRDefault="002D2C85" w:rsidP="0057758B">
      <w:pPr>
        <w:ind w:left="2880" w:hanging="720"/>
        <w:rPr>
          <w:rFonts w:cs="Arial"/>
        </w:rPr>
      </w:pPr>
      <w:r>
        <w:rPr>
          <w:rFonts w:cs="Arial"/>
        </w:rPr>
        <w:t>(1)</w:t>
      </w:r>
      <w:r w:rsidR="0057758B" w:rsidRPr="0057758B">
        <w:rPr>
          <w:rFonts w:cs="Arial"/>
        </w:rPr>
        <w:tab/>
        <w:t>An ALTA Form 12-06 Tie-In or Aggregation Endorsement (or equivalent or TLTA Form T-16 Endorsement for properties located in Texas).</w:t>
      </w:r>
    </w:p>
    <w:p w14:paraId="145303AE" w14:textId="77777777" w:rsidR="0057758B" w:rsidRPr="0057758B" w:rsidRDefault="0057758B" w:rsidP="0057758B">
      <w:pPr>
        <w:ind w:left="2880" w:hanging="720"/>
        <w:rPr>
          <w:rFonts w:cs="Arial"/>
        </w:rPr>
      </w:pPr>
    </w:p>
    <w:p w14:paraId="4FC0F07E" w14:textId="6FD9A048" w:rsidR="0057758B" w:rsidRPr="0057758B" w:rsidRDefault="002D2C85" w:rsidP="0057758B">
      <w:pPr>
        <w:ind w:left="2880" w:hanging="720"/>
        <w:rPr>
          <w:rFonts w:cs="Arial"/>
        </w:rPr>
      </w:pPr>
      <w:r>
        <w:rPr>
          <w:rFonts w:cs="Arial"/>
        </w:rPr>
        <w:t>(2)</w:t>
      </w:r>
      <w:r w:rsidR="0057758B" w:rsidRPr="0057758B">
        <w:rPr>
          <w:rFonts w:cs="Arial"/>
        </w:rPr>
        <w:tab/>
        <w:t>An ALTA Form 20-06 “First Loss” Endorsement (or equivalent or a TLTA Form T-14 Endorsement for properties located in Texas).</w:t>
      </w:r>
    </w:p>
    <w:p w14:paraId="37D6FA26" w14:textId="77777777" w:rsidR="0057758B" w:rsidRPr="0057758B" w:rsidRDefault="0057758B" w:rsidP="0057758B">
      <w:pPr>
        <w:ind w:left="2880" w:hanging="720"/>
        <w:rPr>
          <w:rFonts w:cs="Arial"/>
        </w:rPr>
      </w:pPr>
    </w:p>
    <w:p w14:paraId="4D475E9E" w14:textId="575221D3" w:rsidR="0057758B" w:rsidRPr="0057758B" w:rsidRDefault="002D2C85" w:rsidP="0057758B">
      <w:pPr>
        <w:ind w:left="2880" w:hanging="720"/>
        <w:rPr>
          <w:rFonts w:cs="Arial"/>
        </w:rPr>
      </w:pPr>
      <w:r>
        <w:rPr>
          <w:rFonts w:cs="Arial"/>
        </w:rPr>
        <w:t>(3)</w:t>
      </w:r>
      <w:r w:rsidR="0057758B" w:rsidRPr="0057758B">
        <w:rPr>
          <w:rFonts w:cs="Arial"/>
        </w:rPr>
        <w:tab/>
        <w:t>A “Multiple Foreclosure” Endorsement in form and substance acceptable to Freddie Mac.</w:t>
      </w:r>
    </w:p>
    <w:p w14:paraId="4605B2EF" w14:textId="77777777" w:rsidR="0057758B" w:rsidRPr="0057758B" w:rsidRDefault="0057758B" w:rsidP="0057758B">
      <w:pPr>
        <w:ind w:left="2880" w:hanging="720"/>
        <w:rPr>
          <w:rFonts w:cs="Arial"/>
        </w:rPr>
      </w:pPr>
    </w:p>
    <w:p w14:paraId="63AE4500" w14:textId="6526D1FC" w:rsidR="0057758B" w:rsidRPr="0057758B" w:rsidRDefault="00BF5E83" w:rsidP="000B004F">
      <w:pPr>
        <w:pStyle w:val="NormalHangingIndent2"/>
        <w:keepNext/>
        <w:keepLines/>
        <w:spacing w:after="0"/>
        <w:ind w:left="0" w:firstLine="0"/>
        <w:jc w:val="left"/>
        <w:rPr>
          <w:rFonts w:ascii="Arial" w:hAnsi="Arial" w:cs="Arial"/>
          <w:sz w:val="20"/>
          <w:szCs w:val="20"/>
        </w:rPr>
      </w:pPr>
      <w:r>
        <w:rPr>
          <w:rFonts w:ascii="Arial" w:hAnsi="Arial" w:cs="Arial"/>
          <w:sz w:val="20"/>
          <w:szCs w:val="20"/>
        </w:rPr>
        <w:lastRenderedPageBreak/>
        <w:t>L</w:t>
      </w:r>
      <w:r w:rsidR="0057758B" w:rsidRPr="0057758B">
        <w:rPr>
          <w:rFonts w:ascii="Arial" w:hAnsi="Arial" w:cs="Arial"/>
          <w:sz w:val="20"/>
          <w:szCs w:val="20"/>
        </w:rPr>
        <w:t>.</w:t>
      </w:r>
      <w:r w:rsidR="0057758B" w:rsidRPr="0057758B">
        <w:rPr>
          <w:rFonts w:ascii="Arial" w:hAnsi="Arial" w:cs="Arial"/>
          <w:sz w:val="20"/>
          <w:szCs w:val="20"/>
        </w:rPr>
        <w:tab/>
      </w:r>
      <w:r w:rsidR="002E12F5">
        <w:rPr>
          <w:rFonts w:ascii="Arial" w:hAnsi="Arial" w:cs="Arial"/>
          <w:sz w:val="20"/>
          <w:szCs w:val="20"/>
        </w:rPr>
        <w:t>Section </w:t>
      </w:r>
      <w:r w:rsidR="00640C55">
        <w:rPr>
          <w:rFonts w:ascii="Arial" w:hAnsi="Arial" w:cs="Arial"/>
          <w:sz w:val="20"/>
          <w:szCs w:val="20"/>
        </w:rPr>
        <w:t>11.13</w:t>
      </w:r>
      <w:r w:rsidR="0057758B" w:rsidRPr="0057758B">
        <w:rPr>
          <w:rFonts w:ascii="Arial" w:hAnsi="Arial" w:cs="Arial"/>
          <w:sz w:val="20"/>
          <w:szCs w:val="20"/>
        </w:rPr>
        <w:t>(</w:t>
      </w:r>
      <w:r w:rsidR="00E90832">
        <w:rPr>
          <w:rFonts w:ascii="Arial" w:hAnsi="Arial" w:cs="Arial"/>
          <w:sz w:val="20"/>
          <w:szCs w:val="20"/>
        </w:rPr>
        <w:t>b</w:t>
      </w:r>
      <w:r w:rsidR="0057758B" w:rsidRPr="0057758B">
        <w:rPr>
          <w:rFonts w:ascii="Arial" w:hAnsi="Arial" w:cs="Arial"/>
          <w:sz w:val="20"/>
          <w:szCs w:val="20"/>
        </w:rPr>
        <w:t>)</w:t>
      </w:r>
      <w:r w:rsidR="00E90832">
        <w:rPr>
          <w:rFonts w:ascii="Arial" w:hAnsi="Arial" w:cs="Arial"/>
          <w:sz w:val="20"/>
          <w:szCs w:val="20"/>
        </w:rPr>
        <w:t>(xi)</w:t>
      </w:r>
      <w:r w:rsidR="0057758B" w:rsidRPr="0057758B">
        <w:rPr>
          <w:rFonts w:ascii="Arial" w:hAnsi="Arial" w:cs="Arial"/>
          <w:sz w:val="20"/>
          <w:szCs w:val="20"/>
        </w:rPr>
        <w:t xml:space="preserve"> is deleted and replaced with the following:</w:t>
      </w:r>
    </w:p>
    <w:p w14:paraId="2F9A0A76" w14:textId="77777777" w:rsidR="0057758B" w:rsidRPr="0057758B" w:rsidRDefault="0057758B" w:rsidP="00B248BE">
      <w:pPr>
        <w:keepNext/>
        <w:keepLines/>
        <w:rPr>
          <w:rFonts w:cs="Arial"/>
        </w:rPr>
      </w:pPr>
    </w:p>
    <w:p w14:paraId="43901534" w14:textId="1D52AEBB" w:rsidR="0057758B" w:rsidRPr="0057758B" w:rsidRDefault="0057758B" w:rsidP="0057758B">
      <w:pPr>
        <w:pStyle w:val="NormalHangingIndent2"/>
        <w:spacing w:after="0"/>
        <w:jc w:val="left"/>
        <w:rPr>
          <w:rFonts w:ascii="Arial" w:hAnsi="Arial" w:cs="Arial"/>
          <w:sz w:val="20"/>
          <w:szCs w:val="20"/>
        </w:rPr>
      </w:pPr>
      <w:r w:rsidRPr="0057758B">
        <w:rPr>
          <w:rFonts w:ascii="Arial" w:hAnsi="Arial" w:cs="Arial"/>
          <w:sz w:val="20"/>
          <w:szCs w:val="20"/>
        </w:rPr>
        <w:t>(</w:t>
      </w:r>
      <w:r w:rsidR="009E7D2C">
        <w:rPr>
          <w:rFonts w:ascii="Arial" w:hAnsi="Arial" w:cs="Arial"/>
          <w:sz w:val="20"/>
          <w:szCs w:val="20"/>
        </w:rPr>
        <w:t>xi</w:t>
      </w:r>
      <w:r w:rsidRPr="0057758B">
        <w:rPr>
          <w:rFonts w:ascii="Arial" w:hAnsi="Arial" w:cs="Arial"/>
          <w:sz w:val="20"/>
          <w:szCs w:val="20"/>
        </w:rPr>
        <w:t>)</w:t>
      </w:r>
      <w:r w:rsidRPr="0057758B">
        <w:rPr>
          <w:rFonts w:ascii="Arial" w:hAnsi="Arial" w:cs="Arial"/>
          <w:sz w:val="20"/>
          <w:szCs w:val="20"/>
        </w:rPr>
        <w:tab/>
        <w:t xml:space="preserve">The provisions of this </w:t>
      </w:r>
      <w:r w:rsidR="002E12F5">
        <w:rPr>
          <w:rFonts w:ascii="Arial" w:hAnsi="Arial" w:cs="Arial"/>
          <w:sz w:val="20"/>
          <w:szCs w:val="20"/>
        </w:rPr>
        <w:t>Section </w:t>
      </w:r>
      <w:r w:rsidR="00640C55">
        <w:rPr>
          <w:rFonts w:ascii="Arial" w:hAnsi="Arial" w:cs="Arial"/>
          <w:sz w:val="20"/>
          <w:szCs w:val="20"/>
        </w:rPr>
        <w:t>11.13</w:t>
      </w:r>
      <w:r w:rsidRPr="0057758B">
        <w:rPr>
          <w:rFonts w:ascii="Arial" w:hAnsi="Arial" w:cs="Arial"/>
          <w:sz w:val="20"/>
          <w:szCs w:val="20"/>
        </w:rPr>
        <w:t xml:space="preserve"> are subject to the provisions of </w:t>
      </w:r>
      <w:r w:rsidR="002E12F5">
        <w:rPr>
          <w:rFonts w:ascii="Arial" w:hAnsi="Arial" w:cs="Arial"/>
          <w:sz w:val="20"/>
          <w:szCs w:val="20"/>
        </w:rPr>
        <w:t>Section </w:t>
      </w:r>
      <w:r w:rsidRPr="0057758B">
        <w:rPr>
          <w:rFonts w:ascii="Arial" w:hAnsi="Arial" w:cs="Arial"/>
          <w:sz w:val="20"/>
          <w:szCs w:val="20"/>
        </w:rPr>
        <w:t>15 of the Cross-Collateralization Agreement.</w:t>
      </w:r>
    </w:p>
    <w:p w14:paraId="098A388C" w14:textId="24699C9E" w:rsidR="0057758B" w:rsidRDefault="0057758B" w:rsidP="0057758B">
      <w:pPr>
        <w:rPr>
          <w:rFonts w:cs="Arial"/>
        </w:rPr>
      </w:pPr>
    </w:p>
    <w:p w14:paraId="16A7FF5F" w14:textId="0805EAEB" w:rsidR="0057758B" w:rsidRPr="0057758B" w:rsidRDefault="00BF5E83" w:rsidP="0057758B">
      <w:pPr>
        <w:rPr>
          <w:rFonts w:cs="Arial"/>
        </w:rPr>
      </w:pPr>
      <w:r>
        <w:rPr>
          <w:rFonts w:cs="Arial"/>
        </w:rPr>
        <w:t>M</w:t>
      </w:r>
      <w:r w:rsidR="0057758B" w:rsidRPr="0057758B">
        <w:rPr>
          <w:rFonts w:cs="Arial"/>
        </w:rPr>
        <w:t>.</w:t>
      </w:r>
      <w:r w:rsidR="0057758B" w:rsidRPr="0057758B">
        <w:rPr>
          <w:rFonts w:cs="Arial"/>
        </w:rPr>
        <w:tab/>
        <w:t xml:space="preserve">The following definitions are added to </w:t>
      </w:r>
      <w:r w:rsidR="002E12F5">
        <w:rPr>
          <w:rFonts w:cs="Arial"/>
        </w:rPr>
        <w:t>Article </w:t>
      </w:r>
      <w:r w:rsidR="0057758B" w:rsidRPr="0057758B">
        <w:rPr>
          <w:rFonts w:cs="Arial"/>
        </w:rPr>
        <w:t>XII:</w:t>
      </w:r>
    </w:p>
    <w:p w14:paraId="45FC8EF1" w14:textId="77777777" w:rsidR="0057758B" w:rsidRPr="0057758B" w:rsidRDefault="0057758B" w:rsidP="0057758B">
      <w:pPr>
        <w:rPr>
          <w:rFonts w:cs="Arial"/>
        </w:rPr>
      </w:pPr>
    </w:p>
    <w:p w14:paraId="5C802826" w14:textId="5EAB57B3" w:rsidR="00FB71B3" w:rsidRPr="00181FC7" w:rsidRDefault="00FB71B3" w:rsidP="00FB71B3">
      <w:pPr>
        <w:spacing w:before="40" w:after="40"/>
        <w:ind w:firstLine="720"/>
        <w:rPr>
          <w:rFonts w:eastAsia="MS Gothic" w:cs="Arial"/>
        </w:rPr>
      </w:pPr>
      <w:r>
        <w:rPr>
          <w:rFonts w:eastAsia="MS Gothic" w:cs="Arial"/>
        </w:rPr>
        <w:t>“</w:t>
      </w:r>
      <w:r w:rsidRPr="00FB71B3">
        <w:rPr>
          <w:rFonts w:eastAsia="MS Gothic" w:cs="Arial"/>
          <w:b/>
          <w:bCs/>
        </w:rPr>
        <w:t>Additional Supplemental Financing Test for Cross-Collateralized Loans</w:t>
      </w:r>
      <w:r>
        <w:rPr>
          <w:rFonts w:eastAsia="MS Gothic" w:cs="Arial"/>
        </w:rPr>
        <w:t xml:space="preserve">” is defined in </w:t>
      </w:r>
      <w:r w:rsidR="002E12F5">
        <w:rPr>
          <w:rFonts w:cs="Arial"/>
        </w:rPr>
        <w:t>Section </w:t>
      </w:r>
      <w:r w:rsidR="000563AA" w:rsidRPr="000B004F">
        <w:rPr>
          <w:rFonts w:cs="Arial"/>
        </w:rPr>
        <w:t>1.05</w:t>
      </w:r>
      <w:r>
        <w:rPr>
          <w:rFonts w:eastAsia="MS Gothic" w:cs="Arial"/>
        </w:rPr>
        <w:t>.</w:t>
      </w:r>
    </w:p>
    <w:p w14:paraId="5B0746D6" w14:textId="77777777" w:rsidR="00FB71B3" w:rsidRDefault="00FB71B3" w:rsidP="0057758B">
      <w:pPr>
        <w:ind w:left="720"/>
        <w:rPr>
          <w:rFonts w:cs="Arial"/>
        </w:rPr>
      </w:pPr>
    </w:p>
    <w:p w14:paraId="05048C92" w14:textId="6EBA0E68" w:rsidR="0057758B" w:rsidRPr="0057758B" w:rsidRDefault="0057758B" w:rsidP="0057758B">
      <w:pPr>
        <w:ind w:left="720"/>
        <w:rPr>
          <w:rFonts w:cs="Arial"/>
        </w:rPr>
      </w:pPr>
      <w:r w:rsidRPr="0057758B">
        <w:rPr>
          <w:rFonts w:cs="Arial"/>
        </w:rPr>
        <w:t>“</w:t>
      </w:r>
      <w:r w:rsidRPr="0057758B">
        <w:rPr>
          <w:rFonts w:cs="Arial"/>
          <w:b/>
        </w:rPr>
        <w:t>Cross-Collateralization Agreement</w:t>
      </w:r>
      <w:r w:rsidRPr="0057758B">
        <w:rPr>
          <w:rFonts w:cs="Arial"/>
        </w:rPr>
        <w:t>” means the Cross-Collateralization Agreement - Master dated as of the date of this Agreement by and among Borrower, Lender, and the Related Borrowers, as amended from time to time.</w:t>
      </w:r>
    </w:p>
    <w:p w14:paraId="1A91686D" w14:textId="77777777" w:rsidR="0057758B" w:rsidRPr="0057758B" w:rsidRDefault="0057758B" w:rsidP="0057758B">
      <w:pPr>
        <w:ind w:left="720"/>
        <w:rPr>
          <w:rFonts w:cs="Arial"/>
        </w:rPr>
      </w:pPr>
    </w:p>
    <w:p w14:paraId="575FD797" w14:textId="40A13DAD" w:rsidR="0057758B" w:rsidRPr="0057758B" w:rsidRDefault="0057758B" w:rsidP="0057758B">
      <w:pPr>
        <w:ind w:left="720"/>
        <w:rPr>
          <w:rFonts w:cs="Arial"/>
          <w:b/>
        </w:rPr>
      </w:pPr>
      <w:r w:rsidRPr="0057758B">
        <w:rPr>
          <w:rFonts w:cs="Arial"/>
          <w:bCs/>
          <w:color w:val="000000"/>
        </w:rPr>
        <w:t>“</w:t>
      </w:r>
      <w:r w:rsidRPr="0057758B">
        <w:rPr>
          <w:rFonts w:cs="Arial"/>
          <w:b/>
          <w:bCs/>
          <w:color w:val="000000"/>
        </w:rPr>
        <w:t>Maximum Aggregate Combined LTV</w:t>
      </w:r>
      <w:r w:rsidRPr="0057758B">
        <w:rPr>
          <w:rFonts w:cs="Arial"/>
          <w:bCs/>
          <w:color w:val="000000"/>
        </w:rPr>
        <w:t xml:space="preserve">” </w:t>
      </w:r>
      <w:r w:rsidR="00A22320">
        <w:rPr>
          <w:rFonts w:cs="Arial"/>
          <w:bCs/>
          <w:color w:val="000000"/>
        </w:rPr>
        <w:t xml:space="preserve">is defined in </w:t>
      </w:r>
      <w:r w:rsidR="002E12F5">
        <w:rPr>
          <w:rFonts w:cs="Arial"/>
        </w:rPr>
        <w:t>Section </w:t>
      </w:r>
      <w:r w:rsidR="000563AA" w:rsidRPr="005168DC">
        <w:rPr>
          <w:rFonts w:cs="Arial"/>
        </w:rPr>
        <w:t>1.05</w:t>
      </w:r>
      <w:r w:rsidR="00A22320">
        <w:rPr>
          <w:rFonts w:cs="Arial"/>
          <w:bCs/>
          <w:color w:val="000000"/>
        </w:rPr>
        <w:t xml:space="preserve">. </w:t>
      </w:r>
    </w:p>
    <w:p w14:paraId="12DEAC53" w14:textId="77777777" w:rsidR="0057758B" w:rsidRPr="0057758B" w:rsidRDefault="0057758B" w:rsidP="0057758B">
      <w:pPr>
        <w:ind w:left="720" w:hanging="720"/>
        <w:rPr>
          <w:rFonts w:cs="Arial"/>
          <w:bCs/>
          <w:color w:val="000000"/>
        </w:rPr>
      </w:pPr>
      <w:r w:rsidRPr="0057758B">
        <w:rPr>
          <w:rFonts w:cs="Arial"/>
          <w:bCs/>
          <w:color w:val="000000"/>
        </w:rPr>
        <w:tab/>
      </w:r>
    </w:p>
    <w:p w14:paraId="0385B849" w14:textId="299B29D9" w:rsidR="0057758B" w:rsidRPr="0057758B" w:rsidRDefault="0057758B" w:rsidP="0057758B">
      <w:pPr>
        <w:ind w:left="720"/>
        <w:rPr>
          <w:rFonts w:cs="Arial"/>
          <w:bCs/>
          <w:color w:val="000000"/>
        </w:rPr>
      </w:pPr>
      <w:r w:rsidRPr="0057758B">
        <w:rPr>
          <w:rFonts w:cs="Arial"/>
          <w:bCs/>
          <w:color w:val="000000"/>
        </w:rPr>
        <w:t>“</w:t>
      </w:r>
      <w:r w:rsidRPr="0057758B">
        <w:rPr>
          <w:rFonts w:cs="Arial"/>
          <w:b/>
          <w:bCs/>
          <w:color w:val="000000"/>
        </w:rPr>
        <w:t>Minimum Aggregate DSCR</w:t>
      </w:r>
      <w:r w:rsidRPr="0057758B">
        <w:rPr>
          <w:rFonts w:cs="Arial"/>
          <w:bCs/>
          <w:color w:val="000000"/>
        </w:rPr>
        <w:t xml:space="preserve">” </w:t>
      </w:r>
      <w:r w:rsidR="00A22320">
        <w:rPr>
          <w:rFonts w:cs="Arial"/>
          <w:bCs/>
          <w:color w:val="000000"/>
        </w:rPr>
        <w:t xml:space="preserve">is defined in </w:t>
      </w:r>
      <w:r w:rsidR="002E12F5">
        <w:rPr>
          <w:rFonts w:cs="Arial"/>
        </w:rPr>
        <w:t>Section </w:t>
      </w:r>
      <w:r w:rsidR="000563AA" w:rsidRPr="005168DC">
        <w:rPr>
          <w:rFonts w:cs="Arial"/>
        </w:rPr>
        <w:t>1.05</w:t>
      </w:r>
      <w:r w:rsidR="00A22320">
        <w:rPr>
          <w:rFonts w:cs="Arial"/>
          <w:bCs/>
          <w:color w:val="000000"/>
        </w:rPr>
        <w:t xml:space="preserve">. </w:t>
      </w:r>
    </w:p>
    <w:p w14:paraId="3BFB6A9D" w14:textId="77777777" w:rsidR="0057758B" w:rsidRPr="0057758B" w:rsidRDefault="0057758B" w:rsidP="0057758B">
      <w:pPr>
        <w:ind w:left="720"/>
        <w:rPr>
          <w:rFonts w:cs="Arial"/>
        </w:rPr>
      </w:pPr>
    </w:p>
    <w:p w14:paraId="3735D550" w14:textId="77777777" w:rsidR="0057758B" w:rsidRPr="0057758B" w:rsidRDefault="0057758B" w:rsidP="0057758B">
      <w:pPr>
        <w:ind w:left="1440" w:hanging="720"/>
        <w:rPr>
          <w:rFonts w:cs="Arial"/>
        </w:rPr>
      </w:pPr>
      <w:r w:rsidRPr="0057758B">
        <w:rPr>
          <w:rFonts w:cs="Arial"/>
        </w:rPr>
        <w:t>“</w:t>
      </w:r>
      <w:r w:rsidRPr="0057758B">
        <w:rPr>
          <w:rFonts w:cs="Arial"/>
          <w:b/>
        </w:rPr>
        <w:t>Related Borrowers</w:t>
      </w:r>
      <w:r w:rsidRPr="0057758B">
        <w:rPr>
          <w:rFonts w:cs="Arial"/>
        </w:rPr>
        <w:t>” is defined in the Cross-Collateralization Agreement.</w:t>
      </w:r>
    </w:p>
    <w:p w14:paraId="27453475" w14:textId="77777777" w:rsidR="0057758B" w:rsidRPr="0057758B" w:rsidRDefault="0057758B" w:rsidP="0057758B">
      <w:pPr>
        <w:ind w:left="1440" w:hanging="720"/>
        <w:rPr>
          <w:rFonts w:cs="Arial"/>
        </w:rPr>
      </w:pPr>
    </w:p>
    <w:p w14:paraId="24FA308A" w14:textId="77777777" w:rsidR="0057758B" w:rsidRPr="0057758B" w:rsidRDefault="0057758B" w:rsidP="0057758B">
      <w:pPr>
        <w:ind w:left="1440" w:hanging="720"/>
        <w:rPr>
          <w:rFonts w:cs="Arial"/>
        </w:rPr>
      </w:pPr>
      <w:r w:rsidRPr="0057758B">
        <w:rPr>
          <w:rFonts w:cs="Arial"/>
        </w:rPr>
        <w:t>“</w:t>
      </w:r>
      <w:r w:rsidRPr="0057758B">
        <w:rPr>
          <w:rFonts w:cs="Arial"/>
          <w:b/>
        </w:rPr>
        <w:t>Related Indebtedness</w:t>
      </w:r>
      <w:r w:rsidRPr="0057758B">
        <w:rPr>
          <w:rFonts w:cs="Arial"/>
        </w:rPr>
        <w:t>” is defined in the Cross-Collateralization Agreement.</w:t>
      </w:r>
    </w:p>
    <w:p w14:paraId="2D24F547" w14:textId="77777777" w:rsidR="0057758B" w:rsidRPr="0057758B" w:rsidRDefault="0057758B" w:rsidP="0057758B">
      <w:pPr>
        <w:rPr>
          <w:rFonts w:cs="Arial"/>
        </w:rPr>
      </w:pPr>
    </w:p>
    <w:p w14:paraId="7DE261C8" w14:textId="77777777" w:rsidR="0057758B" w:rsidRPr="0057758B" w:rsidRDefault="0057758B" w:rsidP="0057758B">
      <w:pPr>
        <w:ind w:left="720"/>
        <w:rPr>
          <w:rFonts w:cs="Arial"/>
        </w:rPr>
      </w:pPr>
      <w:r w:rsidRPr="0057758B">
        <w:rPr>
          <w:rFonts w:cs="Arial"/>
        </w:rPr>
        <w:t>“</w:t>
      </w:r>
      <w:r w:rsidRPr="0057758B">
        <w:rPr>
          <w:rFonts w:cs="Arial"/>
          <w:b/>
        </w:rPr>
        <w:t>Related Loan Agreements</w:t>
      </w:r>
      <w:r w:rsidRPr="0057758B">
        <w:rPr>
          <w:rFonts w:cs="Arial"/>
        </w:rPr>
        <w:t>” is defined in the Cross-Collateralization Agreement.</w:t>
      </w:r>
    </w:p>
    <w:p w14:paraId="70CE3050" w14:textId="77777777" w:rsidR="0057758B" w:rsidRPr="0057758B" w:rsidRDefault="0057758B" w:rsidP="0057758B">
      <w:pPr>
        <w:ind w:left="720"/>
        <w:rPr>
          <w:rFonts w:cs="Arial"/>
        </w:rPr>
      </w:pPr>
    </w:p>
    <w:p w14:paraId="3120543D" w14:textId="77777777" w:rsidR="0057758B" w:rsidRPr="0057758B" w:rsidRDefault="0057758B" w:rsidP="0057758B">
      <w:pPr>
        <w:ind w:left="720"/>
        <w:rPr>
          <w:rFonts w:cs="Arial"/>
        </w:rPr>
      </w:pPr>
      <w:r w:rsidRPr="0057758B">
        <w:rPr>
          <w:rFonts w:cs="Arial"/>
        </w:rPr>
        <w:t>“</w:t>
      </w:r>
      <w:r w:rsidRPr="0057758B">
        <w:rPr>
          <w:rFonts w:cs="Arial"/>
          <w:b/>
        </w:rPr>
        <w:t>Related Loan Documents</w:t>
      </w:r>
      <w:r w:rsidRPr="0057758B">
        <w:rPr>
          <w:rFonts w:cs="Arial"/>
        </w:rPr>
        <w:t>” is defined in the Cross-Collateralization Agreement.</w:t>
      </w:r>
    </w:p>
    <w:p w14:paraId="404C86A5" w14:textId="77777777" w:rsidR="0057758B" w:rsidRPr="0057758B" w:rsidRDefault="0057758B" w:rsidP="0057758B">
      <w:pPr>
        <w:ind w:left="720" w:hanging="720"/>
        <w:rPr>
          <w:rFonts w:cs="Arial"/>
        </w:rPr>
      </w:pPr>
    </w:p>
    <w:p w14:paraId="52D643A7" w14:textId="77777777" w:rsidR="0057758B" w:rsidRPr="0057758B" w:rsidRDefault="0057758B" w:rsidP="0057758B">
      <w:pPr>
        <w:ind w:left="720"/>
        <w:rPr>
          <w:rFonts w:cs="Arial"/>
        </w:rPr>
      </w:pPr>
      <w:r w:rsidRPr="0057758B">
        <w:rPr>
          <w:rFonts w:cs="Arial"/>
        </w:rPr>
        <w:t>“</w:t>
      </w:r>
      <w:r w:rsidRPr="0057758B">
        <w:rPr>
          <w:rFonts w:cs="Arial"/>
          <w:b/>
        </w:rPr>
        <w:t>Related Loans</w:t>
      </w:r>
      <w:r w:rsidRPr="0057758B">
        <w:rPr>
          <w:rFonts w:cs="Arial"/>
        </w:rPr>
        <w:t>” is defined in the Cross-Collateralization Agreement.</w:t>
      </w:r>
    </w:p>
    <w:p w14:paraId="00EE4419" w14:textId="77777777" w:rsidR="0057758B" w:rsidRPr="0057758B" w:rsidRDefault="0057758B" w:rsidP="0057758B">
      <w:pPr>
        <w:rPr>
          <w:rFonts w:cs="Arial"/>
        </w:rPr>
      </w:pPr>
    </w:p>
    <w:p w14:paraId="4FB7322C" w14:textId="77777777" w:rsidR="0057758B" w:rsidRPr="0057758B" w:rsidRDefault="0057758B" w:rsidP="0057758B">
      <w:pPr>
        <w:ind w:left="720"/>
        <w:rPr>
          <w:rFonts w:cs="Arial"/>
        </w:rPr>
      </w:pPr>
      <w:r w:rsidRPr="0057758B">
        <w:rPr>
          <w:rFonts w:cs="Arial"/>
        </w:rPr>
        <w:t>“</w:t>
      </w:r>
      <w:r w:rsidRPr="0057758B">
        <w:rPr>
          <w:rFonts w:cs="Arial"/>
          <w:b/>
        </w:rPr>
        <w:t>Related Mortgaged Properties</w:t>
      </w:r>
      <w:r w:rsidRPr="0057758B">
        <w:rPr>
          <w:rFonts w:cs="Arial"/>
        </w:rPr>
        <w:t>” is defined in the Cross-Collateralization Agreement.</w:t>
      </w:r>
    </w:p>
    <w:p w14:paraId="420C9994" w14:textId="77777777" w:rsidR="0057758B" w:rsidRPr="0057758B" w:rsidRDefault="0057758B" w:rsidP="0057758B">
      <w:pPr>
        <w:ind w:left="720" w:hanging="720"/>
        <w:rPr>
          <w:rFonts w:cs="Arial"/>
        </w:rPr>
      </w:pPr>
    </w:p>
    <w:p w14:paraId="786C8EAA" w14:textId="77777777" w:rsidR="0057758B" w:rsidRPr="0057758B" w:rsidRDefault="0057758B" w:rsidP="0057758B">
      <w:pPr>
        <w:ind w:left="720"/>
        <w:rPr>
          <w:rFonts w:cs="Arial"/>
        </w:rPr>
      </w:pPr>
      <w:r w:rsidRPr="0057758B">
        <w:rPr>
          <w:rFonts w:cs="Arial"/>
        </w:rPr>
        <w:t>“</w:t>
      </w:r>
      <w:r w:rsidRPr="0057758B">
        <w:rPr>
          <w:rFonts w:cs="Arial"/>
          <w:b/>
        </w:rPr>
        <w:t>Related Security Instruments</w:t>
      </w:r>
      <w:r w:rsidRPr="0057758B">
        <w:rPr>
          <w:rFonts w:cs="Arial"/>
        </w:rPr>
        <w:t>” is defined in the Cross-Collateralization Agreement.</w:t>
      </w:r>
    </w:p>
    <w:p w14:paraId="77AA1008" w14:textId="77777777" w:rsidR="0057758B" w:rsidRPr="0057758B" w:rsidRDefault="0057758B" w:rsidP="0057758B">
      <w:pPr>
        <w:rPr>
          <w:rFonts w:cs="Arial"/>
        </w:rPr>
      </w:pPr>
    </w:p>
    <w:p w14:paraId="44B03CA4" w14:textId="0E526499" w:rsidR="000A1DF9" w:rsidRDefault="0057758B" w:rsidP="000B004F">
      <w:pPr>
        <w:ind w:left="720"/>
        <w:rPr>
          <w:rFonts w:cs="Arial"/>
        </w:rPr>
      </w:pPr>
      <w:r w:rsidRPr="0057758B">
        <w:rPr>
          <w:rFonts w:cs="Arial"/>
          <w:b/>
        </w:rPr>
        <w:t>“Total Indebtedness</w:t>
      </w:r>
      <w:r w:rsidRPr="0057758B">
        <w:rPr>
          <w:rFonts w:cs="Arial"/>
        </w:rPr>
        <w:t>” is defined in the Cross-Collateralization Agreement.</w:t>
      </w:r>
    </w:p>
    <w:sectPr w:rsidR="000A1DF9" w:rsidSect="004961B5">
      <w:footerReference w:type="defaul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2F2B" w14:textId="77777777" w:rsidR="00350047" w:rsidRDefault="00350047" w:rsidP="00B604F3">
      <w:r>
        <w:separator/>
      </w:r>
    </w:p>
  </w:endnote>
  <w:endnote w:type="continuationSeparator" w:id="0">
    <w:p w14:paraId="402159DE" w14:textId="77777777" w:rsidR="00350047" w:rsidRDefault="00350047"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8EF2" w14:textId="77777777" w:rsidR="00FC6127" w:rsidRDefault="00FC6127" w:rsidP="00FC6127">
    <w:pPr>
      <w:pStyle w:val="Footer"/>
      <w:tabs>
        <w:tab w:val="left" w:pos="473"/>
        <w:tab w:val="right" w:pos="10080"/>
      </w:tabs>
    </w:pPr>
  </w:p>
  <w:p w14:paraId="76ACB6C6" w14:textId="7153BC22" w:rsidR="00FC6127" w:rsidRDefault="00FC6127" w:rsidP="00FC6127">
    <w:pPr>
      <w:pStyle w:val="Footer"/>
      <w:tabs>
        <w:tab w:val="left" w:pos="473"/>
        <w:tab w:val="right" w:pos="10080"/>
      </w:tabs>
    </w:pPr>
    <w:r>
      <w:t xml:space="preserve">Rider to Loan Agreement </w:t>
    </w:r>
  </w:p>
  <w:p w14:paraId="1B228165" w14:textId="0F990B26" w:rsidR="00BA72BA" w:rsidRDefault="00BA72BA" w:rsidP="00BA72BA">
    <w:pPr>
      <w:pStyle w:val="Footer"/>
      <w:tabs>
        <w:tab w:val="right" w:pos="10080"/>
      </w:tabs>
    </w:pPr>
    <w:r w:rsidRPr="0057758B">
      <w:t xml:space="preserve">Cross-Collateralized </w:t>
    </w:r>
    <w:r w:rsidR="002A5D1B">
      <w:t xml:space="preserve">Transaction </w:t>
    </w:r>
    <w:r>
      <w:tab/>
    </w:r>
    <w:r>
      <w:tab/>
    </w:r>
    <w:r>
      <w:tab/>
      <w:t xml:space="preserve">Page </w:t>
    </w:r>
    <w:sdt>
      <w:sdtPr>
        <w:id w:val="-18121636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5FB1B35A" w:rsidR="006903FD" w:rsidRPr="00A31838" w:rsidRDefault="006903FD" w:rsidP="006903FD">
    <w:pPr>
      <w:pStyle w:val="Footer"/>
      <w:tabs>
        <w:tab w:val="left" w:pos="473"/>
        <w:tab w:val="right" w:pos="1008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0F74" w14:textId="77777777" w:rsidR="00350047" w:rsidRDefault="00350047" w:rsidP="00B604F3">
      <w:r>
        <w:separator/>
      </w:r>
    </w:p>
  </w:footnote>
  <w:footnote w:type="continuationSeparator" w:id="0">
    <w:p w14:paraId="193719D7" w14:textId="77777777" w:rsidR="00350047" w:rsidRDefault="00350047"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18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171F5"/>
    <w:rsid w:val="00021DB3"/>
    <w:rsid w:val="000563AA"/>
    <w:rsid w:val="000A1DF9"/>
    <w:rsid w:val="000B004F"/>
    <w:rsid w:val="00115FD2"/>
    <w:rsid w:val="00131347"/>
    <w:rsid w:val="001412AC"/>
    <w:rsid w:val="0015231D"/>
    <w:rsid w:val="00173F20"/>
    <w:rsid w:val="00181FC7"/>
    <w:rsid w:val="00232D03"/>
    <w:rsid w:val="002A5D1B"/>
    <w:rsid w:val="002C21E5"/>
    <w:rsid w:val="002D2C85"/>
    <w:rsid w:val="002E12F5"/>
    <w:rsid w:val="00350047"/>
    <w:rsid w:val="003E36F6"/>
    <w:rsid w:val="00417DE3"/>
    <w:rsid w:val="00427671"/>
    <w:rsid w:val="004435F1"/>
    <w:rsid w:val="00477ACE"/>
    <w:rsid w:val="004961B5"/>
    <w:rsid w:val="004E0FC8"/>
    <w:rsid w:val="00530575"/>
    <w:rsid w:val="00560E9F"/>
    <w:rsid w:val="00565A70"/>
    <w:rsid w:val="0057758B"/>
    <w:rsid w:val="005F28BA"/>
    <w:rsid w:val="005F7525"/>
    <w:rsid w:val="00640C55"/>
    <w:rsid w:val="006903FD"/>
    <w:rsid w:val="006A1F77"/>
    <w:rsid w:val="0072102B"/>
    <w:rsid w:val="00791E39"/>
    <w:rsid w:val="007A408F"/>
    <w:rsid w:val="009075CE"/>
    <w:rsid w:val="009D54BE"/>
    <w:rsid w:val="009E7D2C"/>
    <w:rsid w:val="00A02A70"/>
    <w:rsid w:val="00A0492D"/>
    <w:rsid w:val="00A22320"/>
    <w:rsid w:val="00A31838"/>
    <w:rsid w:val="00A51C85"/>
    <w:rsid w:val="00A55E33"/>
    <w:rsid w:val="00AA6FE7"/>
    <w:rsid w:val="00AB0C47"/>
    <w:rsid w:val="00AE5B49"/>
    <w:rsid w:val="00B22954"/>
    <w:rsid w:val="00B23EC4"/>
    <w:rsid w:val="00B248BE"/>
    <w:rsid w:val="00B604F3"/>
    <w:rsid w:val="00B73895"/>
    <w:rsid w:val="00B9092E"/>
    <w:rsid w:val="00BA1FAE"/>
    <w:rsid w:val="00BA4743"/>
    <w:rsid w:val="00BA72BA"/>
    <w:rsid w:val="00BD0A05"/>
    <w:rsid w:val="00BF5E83"/>
    <w:rsid w:val="00C008B4"/>
    <w:rsid w:val="00C30FB8"/>
    <w:rsid w:val="00C44518"/>
    <w:rsid w:val="00C54D77"/>
    <w:rsid w:val="00C966B6"/>
    <w:rsid w:val="00CA22B1"/>
    <w:rsid w:val="00CE47C2"/>
    <w:rsid w:val="00CF089F"/>
    <w:rsid w:val="00D05F32"/>
    <w:rsid w:val="00D27551"/>
    <w:rsid w:val="00D54A07"/>
    <w:rsid w:val="00D63785"/>
    <w:rsid w:val="00D910CF"/>
    <w:rsid w:val="00D92550"/>
    <w:rsid w:val="00DE6C2B"/>
    <w:rsid w:val="00E14AE4"/>
    <w:rsid w:val="00E73FB7"/>
    <w:rsid w:val="00E81E7B"/>
    <w:rsid w:val="00E90832"/>
    <w:rsid w:val="00EB03BF"/>
    <w:rsid w:val="00EF2A33"/>
    <w:rsid w:val="00F42DA4"/>
    <w:rsid w:val="00FB71B3"/>
    <w:rsid w:val="00FC5EFF"/>
    <w:rsid w:val="00FC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Indent">
    <w:name w:val="Body Text Indent"/>
    <w:basedOn w:val="Normal"/>
    <w:link w:val="BodyTextIndentChar"/>
    <w:uiPriority w:val="99"/>
    <w:semiHidden/>
    <w:unhideWhenUsed/>
    <w:rsid w:val="0057758B"/>
    <w:pPr>
      <w:spacing w:after="120"/>
      <w:ind w:left="360"/>
    </w:pPr>
  </w:style>
  <w:style w:type="character" w:customStyle="1" w:styleId="BodyTextIndentChar">
    <w:name w:val="Body Text Indent Char"/>
    <w:basedOn w:val="DefaultParagraphFont"/>
    <w:link w:val="BodyTextIndent"/>
    <w:uiPriority w:val="99"/>
    <w:semiHidden/>
    <w:rsid w:val="0057758B"/>
    <w:rPr>
      <w:rFonts w:eastAsia="Times New Roman" w:cs="Times New Roman"/>
      <w:color w:val="auto"/>
      <w:szCs w:val="20"/>
    </w:rPr>
  </w:style>
  <w:style w:type="paragraph" w:customStyle="1" w:styleId="NormalHangingIndent2">
    <w:name w:val="Normal (Hanging Indent 2)"/>
    <w:basedOn w:val="Normal"/>
    <w:next w:val="Normal"/>
    <w:rsid w:val="0057758B"/>
    <w:pPr>
      <w:spacing w:after="240"/>
      <w:ind w:left="1440" w:hanging="720"/>
      <w:jc w:val="both"/>
    </w:pPr>
    <w:rPr>
      <w:rFonts w:ascii="Times New Roman" w:hAnsi="Times New Roman"/>
      <w:sz w:val="24"/>
      <w:szCs w:val="24"/>
    </w:rPr>
  </w:style>
  <w:style w:type="paragraph" w:customStyle="1" w:styleId="NormalHangingIndent3">
    <w:name w:val="Normal (Hanging Indent 3)"/>
    <w:basedOn w:val="Normal"/>
    <w:next w:val="Normal"/>
    <w:rsid w:val="0057758B"/>
    <w:pPr>
      <w:spacing w:after="240"/>
      <w:ind w:left="2160" w:hanging="720"/>
      <w:jc w:val="both"/>
    </w:pPr>
    <w:rPr>
      <w:rFonts w:ascii="Times New Roman" w:hAnsi="Times New Roman"/>
      <w:sz w:val="24"/>
      <w:szCs w:val="24"/>
    </w:rPr>
  </w:style>
  <w:style w:type="paragraph" w:customStyle="1" w:styleId="CoverPageLoanNumberandName">
    <w:name w:val="Cover Page (Loan Number and Name)"/>
    <w:basedOn w:val="Normal"/>
    <w:rsid w:val="0057758B"/>
    <w:pPr>
      <w:spacing w:after="240"/>
      <w:jc w:val="both"/>
    </w:pPr>
    <w:rPr>
      <w:rFonts w:ascii="Times New Roman" w:hAnsi="Times New Roman"/>
      <w:sz w:val="24"/>
      <w:szCs w:val="24"/>
    </w:rPr>
  </w:style>
  <w:style w:type="character" w:styleId="CommentReference">
    <w:name w:val="annotation reference"/>
    <w:basedOn w:val="DefaultParagraphFont"/>
    <w:uiPriority w:val="99"/>
    <w:semiHidden/>
    <w:unhideWhenUsed/>
    <w:rsid w:val="007A408F"/>
    <w:rPr>
      <w:sz w:val="16"/>
      <w:szCs w:val="16"/>
    </w:rPr>
  </w:style>
  <w:style w:type="paragraph" w:styleId="CommentText">
    <w:name w:val="annotation text"/>
    <w:basedOn w:val="Normal"/>
    <w:link w:val="CommentTextChar"/>
    <w:uiPriority w:val="99"/>
    <w:semiHidden/>
    <w:unhideWhenUsed/>
    <w:rsid w:val="007A408F"/>
  </w:style>
  <w:style w:type="character" w:customStyle="1" w:styleId="CommentTextChar">
    <w:name w:val="Comment Text Char"/>
    <w:basedOn w:val="DefaultParagraphFont"/>
    <w:link w:val="CommentText"/>
    <w:uiPriority w:val="99"/>
    <w:semiHidden/>
    <w:rsid w:val="007A408F"/>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7A408F"/>
    <w:rPr>
      <w:b/>
      <w:bCs/>
    </w:rPr>
  </w:style>
  <w:style w:type="character" w:customStyle="1" w:styleId="CommentSubjectChar">
    <w:name w:val="Comment Subject Char"/>
    <w:basedOn w:val="CommentTextChar"/>
    <w:link w:val="CommentSubject"/>
    <w:uiPriority w:val="99"/>
    <w:semiHidden/>
    <w:rsid w:val="007A408F"/>
    <w:rPr>
      <w:rFonts w:eastAsia="Times New Roman" w:cs="Times New Roman"/>
      <w:b/>
      <w:bCs/>
      <w:color w:val="auto"/>
      <w:szCs w:val="20"/>
    </w:rPr>
  </w:style>
  <w:style w:type="paragraph" w:customStyle="1" w:styleId="FRECommERLAStyle">
    <w:name w:val="FRECommERLAStyle"/>
    <w:rsid w:val="00BA72BA"/>
    <w:pPr>
      <w:spacing w:after="0" w:line="240" w:lineRule="auto"/>
    </w:pPr>
    <w:rPr>
      <w:rFonts w:ascii="Times New Roman" w:eastAsia="Times New Roman" w:hAnsi="Times New Roman" w:cs="Times New Roman"/>
      <w:color w:val="auto"/>
      <w:sz w:val="24"/>
      <w:szCs w:val="20"/>
    </w:rPr>
  </w:style>
  <w:style w:type="paragraph" w:styleId="Revision">
    <w:name w:val="Revision"/>
    <w:hidden/>
    <w:uiPriority w:val="99"/>
    <w:semiHidden/>
    <w:rsid w:val="00D910CF"/>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55292-A7B6-4E06-9DC7-8D8B06FC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2023-05-11T12:11:00Z</dcterms:created>
  <dcterms:modified xsi:type="dcterms:W3CDTF">2023-06-02T18:12:00Z</dcterms:modified>
</cp:coreProperties>
</file>