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0373ED71" w:rsidR="000A1DF9" w:rsidRPr="00A9020C" w:rsidRDefault="000A1DF9" w:rsidP="00A9020C">
      <w:pPr>
        <w:jc w:val="center"/>
        <w:rPr>
          <w:rFonts w:cs="Arial"/>
          <w:b/>
          <w:sz w:val="24"/>
          <w:szCs w:val="24"/>
        </w:rPr>
      </w:pPr>
      <w:r w:rsidRPr="00A9020C">
        <w:rPr>
          <w:rFonts w:cs="Arial"/>
          <w:b/>
          <w:sz w:val="24"/>
          <w:szCs w:val="24"/>
        </w:rPr>
        <w:t xml:space="preserve">Rider to </w:t>
      </w:r>
      <w:r w:rsidR="00170A30">
        <w:rPr>
          <w:rFonts w:cs="Arial"/>
          <w:b/>
          <w:sz w:val="24"/>
          <w:szCs w:val="24"/>
        </w:rPr>
        <w:t>Continuing Covenant Agreement</w:t>
      </w:r>
      <w:r w:rsidR="00DD2D2B">
        <w:rPr>
          <w:rFonts w:cs="Arial"/>
          <w:b/>
          <w:sz w:val="24"/>
          <w:szCs w:val="24"/>
        </w:rPr>
        <w:t xml:space="preserve"> – TEL</w:t>
      </w:r>
    </w:p>
    <w:p w14:paraId="389BDD4A" w14:textId="6F1B563B" w:rsidR="00E73FB7" w:rsidRPr="00A9020C" w:rsidRDefault="00A24176" w:rsidP="00A9020C">
      <w:pPr>
        <w:jc w:val="center"/>
        <w:rPr>
          <w:rFonts w:cs="Arial"/>
          <w:b/>
          <w:sz w:val="24"/>
          <w:szCs w:val="24"/>
        </w:rPr>
      </w:pPr>
      <w:r w:rsidRPr="00A9020C">
        <w:rPr>
          <w:rFonts w:cs="Arial"/>
          <w:b/>
          <w:sz w:val="24"/>
          <w:szCs w:val="24"/>
        </w:rPr>
        <w:t xml:space="preserve">Cooperation </w:t>
      </w:r>
      <w:r w:rsidR="00382C0F" w:rsidRPr="00A9020C">
        <w:rPr>
          <w:rFonts w:cs="Arial"/>
          <w:b/>
          <w:sz w:val="24"/>
          <w:szCs w:val="24"/>
        </w:rPr>
        <w:t>with</w:t>
      </w:r>
      <w:r w:rsidRPr="00A9020C">
        <w:rPr>
          <w:rFonts w:cs="Arial"/>
          <w:b/>
          <w:sz w:val="24"/>
          <w:szCs w:val="24"/>
        </w:rPr>
        <w:t xml:space="preserve"> Rating Agencies </w:t>
      </w:r>
      <w:r w:rsidR="00C21DFB" w:rsidRPr="00A9020C">
        <w:rPr>
          <w:rFonts w:cs="Arial"/>
          <w:b/>
          <w:sz w:val="24"/>
          <w:szCs w:val="24"/>
        </w:rPr>
        <w:t>and</w:t>
      </w:r>
      <w:r w:rsidRPr="00A9020C">
        <w:rPr>
          <w:rFonts w:cs="Arial"/>
          <w:b/>
          <w:sz w:val="24"/>
          <w:szCs w:val="24"/>
        </w:rPr>
        <w:t xml:space="preserve"> Investors</w:t>
      </w:r>
    </w:p>
    <w:p w14:paraId="64BA05C5" w14:textId="7991E918" w:rsidR="00E73FB7" w:rsidRPr="00A9020C" w:rsidRDefault="00E73FB7" w:rsidP="00A9020C">
      <w:pPr>
        <w:jc w:val="center"/>
        <w:rPr>
          <w:rFonts w:cs="Arial"/>
          <w:bCs/>
        </w:rPr>
      </w:pPr>
      <w:r w:rsidRPr="00A9020C">
        <w:rPr>
          <w:rFonts w:cs="Arial"/>
          <w:bCs/>
        </w:rPr>
        <w:t xml:space="preserve">(Revised </w:t>
      </w:r>
      <w:r w:rsidR="00663F3D">
        <w:rPr>
          <w:rFonts w:cs="Arial"/>
          <w:bCs/>
        </w:rPr>
        <w:t>6-27</w:t>
      </w:r>
      <w:r w:rsidR="00A24176" w:rsidRPr="00A9020C">
        <w:rPr>
          <w:rFonts w:cs="Arial"/>
          <w:bCs/>
        </w:rPr>
        <w:t>-202</w:t>
      </w:r>
      <w:r w:rsidR="00170A30">
        <w:rPr>
          <w:rFonts w:cs="Arial"/>
          <w:bCs/>
        </w:rPr>
        <w:t>3</w:t>
      </w:r>
      <w:r w:rsidRPr="00A9020C">
        <w:rPr>
          <w:rFonts w:cs="Arial"/>
          <w:bCs/>
        </w:rPr>
        <w:t>)</w:t>
      </w:r>
    </w:p>
    <w:p w14:paraId="69C9788E" w14:textId="6DC6E873" w:rsidR="00A24176" w:rsidRDefault="00A24176" w:rsidP="00A24176">
      <w:pPr>
        <w:shd w:val="clear" w:color="auto" w:fill="FFFFFF"/>
        <w:tabs>
          <w:tab w:val="left" w:pos="360"/>
          <w:tab w:val="left" w:pos="720"/>
          <w:tab w:val="left" w:pos="1080"/>
          <w:tab w:val="left" w:pos="1440"/>
        </w:tabs>
        <w:rPr>
          <w:b/>
        </w:rPr>
      </w:pPr>
    </w:p>
    <w:p w14:paraId="02D085A2" w14:textId="77777777" w:rsidR="00401B94" w:rsidRPr="00D20032" w:rsidRDefault="00401B94" w:rsidP="00A24176">
      <w:pPr>
        <w:shd w:val="clear" w:color="auto" w:fill="FFFFFF"/>
        <w:tabs>
          <w:tab w:val="left" w:pos="360"/>
          <w:tab w:val="left" w:pos="720"/>
          <w:tab w:val="left" w:pos="1080"/>
          <w:tab w:val="left" w:pos="1440"/>
        </w:tabs>
        <w:rPr>
          <w:b/>
        </w:rPr>
      </w:pPr>
    </w:p>
    <w:p w14:paraId="5D6B6FA9" w14:textId="6BC252B6" w:rsidR="00401B94" w:rsidRPr="00C735BC" w:rsidRDefault="00401B94" w:rsidP="00401B94">
      <w:pPr>
        <w:tabs>
          <w:tab w:val="left" w:pos="-1440"/>
          <w:tab w:val="left" w:pos="-720"/>
          <w:tab w:val="left" w:pos="2880"/>
          <w:tab w:val="left" w:pos="3600"/>
          <w:tab w:val="left" w:pos="4320"/>
          <w:tab w:val="left" w:pos="5040"/>
          <w:tab w:val="left" w:pos="5760"/>
          <w:tab w:val="left" w:pos="6340"/>
          <w:tab w:val="left" w:pos="6480"/>
        </w:tabs>
        <w:suppressAutoHyphens/>
        <w:rPr>
          <w:rFonts w:cs="Arial"/>
        </w:rPr>
      </w:pPr>
      <w:bookmarkStart w:id="0" w:name="_Hlk84246294"/>
      <w:r w:rsidRPr="00C735BC">
        <w:rPr>
          <w:rFonts w:cs="Arial"/>
        </w:rPr>
        <w:t xml:space="preserve">The following changes are made to the </w:t>
      </w:r>
      <w:r w:rsidR="00170A30">
        <w:rPr>
          <w:rFonts w:cs="Arial"/>
        </w:rPr>
        <w:t>Continuing Covenant Agreement</w:t>
      </w:r>
      <w:r w:rsidRPr="00C735BC">
        <w:rPr>
          <w:rFonts w:cs="Arial"/>
        </w:rPr>
        <w:t xml:space="preserve"> </w:t>
      </w:r>
      <w:r>
        <w:rPr>
          <w:rFonts w:cs="Arial"/>
        </w:rPr>
        <w:t>that</w:t>
      </w:r>
      <w:r w:rsidRPr="00C735BC">
        <w:rPr>
          <w:rFonts w:cs="Arial"/>
        </w:rPr>
        <w:t xml:space="preserve"> precedes this Rider:</w:t>
      </w:r>
    </w:p>
    <w:bookmarkEnd w:id="0"/>
    <w:p w14:paraId="739605DA" w14:textId="77777777" w:rsidR="00401B94" w:rsidRPr="00401B94" w:rsidRDefault="00401B94" w:rsidP="00401B94"/>
    <w:p w14:paraId="7122CE54" w14:textId="3948C4FC" w:rsidR="00A24176" w:rsidRPr="00A24176" w:rsidRDefault="00A24176" w:rsidP="00756257">
      <w:pPr>
        <w:pStyle w:val="Scheme11L6"/>
        <w:numPr>
          <w:ilvl w:val="0"/>
          <w:numId w:val="0"/>
        </w:numPr>
        <w:spacing w:after="0"/>
        <w:ind w:left="720" w:hanging="720"/>
        <w:outlineLvl w:val="9"/>
        <w:rPr>
          <w:rFonts w:ascii="Arial" w:hAnsi="Arial" w:cs="Arial"/>
          <w:sz w:val="20"/>
        </w:rPr>
      </w:pPr>
      <w:r w:rsidRPr="00A24176">
        <w:rPr>
          <w:rFonts w:ascii="Arial" w:hAnsi="Arial" w:cs="Arial"/>
          <w:sz w:val="20"/>
        </w:rPr>
        <w:t>A.</w:t>
      </w:r>
      <w:r w:rsidRPr="00A24176">
        <w:rPr>
          <w:rFonts w:ascii="Arial" w:hAnsi="Arial" w:cs="Arial"/>
          <w:sz w:val="20"/>
        </w:rPr>
        <w:tab/>
        <w:t>Section 11.1</w:t>
      </w:r>
      <w:r w:rsidR="00401B94">
        <w:rPr>
          <w:rFonts w:ascii="Arial" w:hAnsi="Arial" w:cs="Arial"/>
          <w:sz w:val="20"/>
        </w:rPr>
        <w:t>5</w:t>
      </w:r>
      <w:r w:rsidRPr="00CB19B4">
        <w:rPr>
          <w:rFonts w:ascii="Arial" w:hAnsi="Arial" w:cs="Arial"/>
          <w:bCs w:val="0"/>
          <w:sz w:val="20"/>
        </w:rPr>
        <w:t xml:space="preserve"> </w:t>
      </w:r>
      <w:r w:rsidRPr="00A24176">
        <w:rPr>
          <w:rFonts w:ascii="Arial" w:hAnsi="Arial" w:cs="Arial"/>
          <w:sz w:val="20"/>
        </w:rPr>
        <w:t>is deleted and replaced with the following:</w:t>
      </w:r>
    </w:p>
    <w:p w14:paraId="5F525830" w14:textId="77777777" w:rsidR="00A24176" w:rsidRPr="00A24176" w:rsidRDefault="00A24176" w:rsidP="00756257">
      <w:pPr>
        <w:pStyle w:val="Scheme11L1"/>
        <w:numPr>
          <w:ilvl w:val="0"/>
          <w:numId w:val="0"/>
        </w:numPr>
        <w:spacing w:after="0"/>
        <w:jc w:val="left"/>
        <w:outlineLvl w:val="9"/>
        <w:rPr>
          <w:rFonts w:ascii="Arial" w:hAnsi="Arial" w:cs="Arial"/>
          <w:bCs/>
          <w:sz w:val="20"/>
        </w:rPr>
      </w:pPr>
    </w:p>
    <w:p w14:paraId="750E0406" w14:textId="71A44AE4" w:rsidR="00A24176" w:rsidRPr="00A24176" w:rsidRDefault="00A24176" w:rsidP="00756257">
      <w:pPr>
        <w:pStyle w:val="Scheme11L1"/>
        <w:numPr>
          <w:ilvl w:val="0"/>
          <w:numId w:val="0"/>
        </w:numPr>
        <w:spacing w:after="0"/>
        <w:ind w:left="1440" w:hanging="720"/>
        <w:jc w:val="left"/>
        <w:outlineLvl w:val="9"/>
        <w:rPr>
          <w:rFonts w:ascii="Arial" w:hAnsi="Arial" w:cs="Arial"/>
          <w:sz w:val="20"/>
        </w:rPr>
      </w:pPr>
      <w:r w:rsidRPr="00A24176">
        <w:rPr>
          <w:rFonts w:ascii="Arial" w:hAnsi="Arial" w:cs="Arial"/>
          <w:b/>
          <w:bCs/>
          <w:sz w:val="20"/>
        </w:rPr>
        <w:t>11.1</w:t>
      </w:r>
      <w:r w:rsidR="00401B94">
        <w:rPr>
          <w:rFonts w:ascii="Arial" w:hAnsi="Arial" w:cs="Arial"/>
          <w:b/>
          <w:bCs/>
          <w:sz w:val="20"/>
        </w:rPr>
        <w:t>5</w:t>
      </w:r>
      <w:r w:rsidRPr="00A24176">
        <w:rPr>
          <w:rFonts w:ascii="Arial" w:hAnsi="Arial" w:cs="Arial"/>
          <w:b/>
          <w:bCs/>
          <w:sz w:val="20"/>
        </w:rPr>
        <w:tab/>
        <w:t>Cooperation with Rating Agencies and Investors</w:t>
      </w:r>
      <w:r w:rsidRPr="00CE2962">
        <w:rPr>
          <w:rFonts w:ascii="Arial" w:hAnsi="Arial" w:cs="Arial"/>
          <w:sz w:val="20"/>
        </w:rPr>
        <w:t>.</w:t>
      </w:r>
      <w:r w:rsidRPr="00A24176">
        <w:rPr>
          <w:rFonts w:ascii="Arial" w:hAnsi="Arial" w:cs="Arial"/>
          <w:sz w:val="20"/>
        </w:rPr>
        <w:t xml:space="preserve"> At the request of </w:t>
      </w:r>
      <w:r w:rsidR="00170A30">
        <w:rPr>
          <w:rFonts w:ascii="Arial" w:hAnsi="Arial" w:cs="Arial"/>
          <w:sz w:val="20"/>
        </w:rPr>
        <w:t>Funding Lender</w:t>
      </w:r>
      <w:r w:rsidRPr="00A24176">
        <w:rPr>
          <w:rFonts w:ascii="Arial" w:hAnsi="Arial" w:cs="Arial"/>
          <w:sz w:val="20"/>
        </w:rPr>
        <w:t xml:space="preserve"> and, to the extent not already required to be provided by Borrower under this </w:t>
      </w:r>
      <w:r w:rsidR="00170A30">
        <w:rPr>
          <w:rFonts w:ascii="Arial" w:hAnsi="Arial" w:cs="Arial"/>
          <w:sz w:val="20"/>
        </w:rPr>
        <w:t>Continuing Covenant Agreement</w:t>
      </w:r>
      <w:r w:rsidRPr="00A24176">
        <w:rPr>
          <w:rFonts w:ascii="Arial" w:hAnsi="Arial" w:cs="Arial"/>
          <w:sz w:val="20"/>
        </w:rPr>
        <w:t xml:space="preserve">, Borrower must use reasonable efforts to satisfy the market standards to which </w:t>
      </w:r>
      <w:r w:rsidR="00170A30">
        <w:rPr>
          <w:rFonts w:ascii="Arial" w:hAnsi="Arial" w:cs="Arial"/>
          <w:sz w:val="20"/>
        </w:rPr>
        <w:t>Funding Lender</w:t>
      </w:r>
      <w:r w:rsidRPr="00A24176">
        <w:rPr>
          <w:rFonts w:ascii="Arial" w:hAnsi="Arial" w:cs="Arial"/>
          <w:sz w:val="20"/>
        </w:rPr>
        <w:t xml:space="preserve"> customarily adheres or which may be reasonably required in the marketplace or by the Rating Agencies in connection with any Securities secured by or evidencing ownership interests in the </w:t>
      </w:r>
      <w:r w:rsidR="00767F22">
        <w:rPr>
          <w:rFonts w:ascii="Arial" w:hAnsi="Arial" w:cs="Arial"/>
          <w:sz w:val="20"/>
        </w:rPr>
        <w:t xml:space="preserve">Governmental </w:t>
      </w:r>
      <w:r w:rsidRPr="00A24176">
        <w:rPr>
          <w:rFonts w:ascii="Arial" w:hAnsi="Arial" w:cs="Arial"/>
          <w:sz w:val="20"/>
        </w:rPr>
        <w:t xml:space="preserve">Note and this </w:t>
      </w:r>
      <w:r w:rsidR="00CB19B4">
        <w:rPr>
          <w:rFonts w:ascii="Arial" w:hAnsi="Arial" w:cs="Arial"/>
          <w:sz w:val="20"/>
        </w:rPr>
        <w:t>Continuing Covenant</w:t>
      </w:r>
      <w:r w:rsidR="00CB19B4" w:rsidRPr="00A24176">
        <w:rPr>
          <w:rFonts w:ascii="Arial" w:hAnsi="Arial" w:cs="Arial"/>
          <w:sz w:val="20"/>
        </w:rPr>
        <w:t xml:space="preserve"> </w:t>
      </w:r>
      <w:r w:rsidRPr="00A24176">
        <w:rPr>
          <w:rFonts w:ascii="Arial" w:hAnsi="Arial" w:cs="Arial"/>
          <w:sz w:val="20"/>
        </w:rPr>
        <w:t xml:space="preserve">Agreement, including </w:t>
      </w:r>
      <w:r w:rsidR="00C21DFB" w:rsidRPr="00A24176">
        <w:rPr>
          <w:rFonts w:ascii="Arial" w:hAnsi="Arial" w:cs="Arial"/>
          <w:sz w:val="20"/>
        </w:rPr>
        <w:t>all</w:t>
      </w:r>
      <w:r w:rsidRPr="00A24176">
        <w:rPr>
          <w:rFonts w:ascii="Arial" w:hAnsi="Arial" w:cs="Arial"/>
          <w:sz w:val="20"/>
        </w:rPr>
        <w:t xml:space="preserve"> the following:</w:t>
      </w:r>
    </w:p>
    <w:p w14:paraId="35BD4B2C" w14:textId="77777777" w:rsidR="00A24176" w:rsidRPr="00A24176" w:rsidRDefault="00A24176" w:rsidP="00756257">
      <w:pPr>
        <w:ind w:left="2160" w:hanging="720"/>
        <w:rPr>
          <w:rFonts w:cs="Arial"/>
        </w:rPr>
      </w:pPr>
    </w:p>
    <w:p w14:paraId="39F9AD87" w14:textId="63BD3DCD" w:rsidR="00A24176" w:rsidRPr="00A24176" w:rsidRDefault="00A24176" w:rsidP="00756257">
      <w:pPr>
        <w:ind w:left="2160" w:hanging="720"/>
        <w:rPr>
          <w:rFonts w:cs="Arial"/>
        </w:rPr>
      </w:pPr>
      <w:r w:rsidRPr="00A24176">
        <w:rPr>
          <w:rFonts w:cs="Arial"/>
        </w:rPr>
        <w:t>(a)</w:t>
      </w:r>
      <w:r w:rsidRPr="00A24176">
        <w:rPr>
          <w:rFonts w:cs="Arial"/>
        </w:rPr>
        <w:tab/>
        <w:t>Borrower will provide financial and other information with respect to the Mortgaged Property, the Borrower</w:t>
      </w:r>
      <w:r w:rsidR="00C21DFB">
        <w:rPr>
          <w:rFonts w:cs="Arial"/>
        </w:rPr>
        <w:t>,</w:t>
      </w:r>
      <w:r w:rsidRPr="00A24176">
        <w:rPr>
          <w:rFonts w:cs="Arial"/>
        </w:rPr>
        <w:t xml:space="preserve"> and the Property Manager.</w:t>
      </w:r>
    </w:p>
    <w:p w14:paraId="3A82E604" w14:textId="77777777" w:rsidR="00A24176" w:rsidRPr="00A24176" w:rsidRDefault="00A24176" w:rsidP="00756257">
      <w:pPr>
        <w:ind w:left="2160" w:hanging="720"/>
        <w:rPr>
          <w:rFonts w:cs="Arial"/>
        </w:rPr>
      </w:pPr>
    </w:p>
    <w:p w14:paraId="4ABEF65A" w14:textId="24E248A9" w:rsidR="00A24176" w:rsidRPr="00A24176" w:rsidRDefault="00A24176" w:rsidP="00756257">
      <w:pPr>
        <w:ind w:left="2160" w:hanging="720"/>
        <w:rPr>
          <w:rFonts w:cs="Arial"/>
        </w:rPr>
      </w:pPr>
      <w:r w:rsidRPr="00A24176">
        <w:rPr>
          <w:rFonts w:cs="Arial"/>
        </w:rPr>
        <w:t>(b)</w:t>
      </w:r>
      <w:r w:rsidRPr="00A24176">
        <w:rPr>
          <w:rFonts w:cs="Arial"/>
        </w:rPr>
        <w:tab/>
        <w:t xml:space="preserve">Borrower will perform or permit or cause to be performed or permitted such site inspections and other due diligence investigations of the Mortgaged Property, as may be requested by </w:t>
      </w:r>
      <w:r w:rsidR="00170A30">
        <w:rPr>
          <w:rFonts w:cs="Arial"/>
        </w:rPr>
        <w:t>Funding Lender</w:t>
      </w:r>
      <w:r w:rsidRPr="00A24176">
        <w:rPr>
          <w:rFonts w:cs="Arial"/>
        </w:rPr>
        <w:t xml:space="preserve"> in </w:t>
      </w:r>
      <w:r w:rsidR="00170A30">
        <w:rPr>
          <w:rFonts w:cs="Arial"/>
        </w:rPr>
        <w:t>Funding Lender</w:t>
      </w:r>
      <w:r w:rsidRPr="00A24176">
        <w:rPr>
          <w:rFonts w:cs="Arial"/>
        </w:rPr>
        <w:t>’s Discretion</w:t>
      </w:r>
      <w:r w:rsidR="00C21DFB">
        <w:rPr>
          <w:rFonts w:cs="Arial"/>
        </w:rPr>
        <w:t>,</w:t>
      </w:r>
      <w:r w:rsidRPr="00A24176">
        <w:rPr>
          <w:rFonts w:cs="Arial"/>
        </w:rPr>
        <w:t xml:space="preserve"> or may reasonably be requested by the Rating Agencies</w:t>
      </w:r>
      <w:r w:rsidR="00C21DFB">
        <w:rPr>
          <w:rFonts w:cs="Arial"/>
        </w:rPr>
        <w:t>,</w:t>
      </w:r>
      <w:r w:rsidRPr="00A24176">
        <w:rPr>
          <w:rFonts w:cs="Arial"/>
        </w:rPr>
        <w:t xml:space="preserve"> or as may be necessary or appropriate in connection with the Secondary Market Transaction. </w:t>
      </w:r>
      <w:r w:rsidR="00170A30">
        <w:rPr>
          <w:rFonts w:cs="Arial"/>
        </w:rPr>
        <w:t>Funding Lender</w:t>
      </w:r>
      <w:r w:rsidRPr="00A24176">
        <w:rPr>
          <w:rFonts w:cs="Arial"/>
        </w:rPr>
        <w:t xml:space="preserve"> will reimburse Borrower for any </w:t>
      </w:r>
      <w:r w:rsidR="00C21DFB" w:rsidRPr="00A24176">
        <w:rPr>
          <w:rFonts w:cs="Arial"/>
        </w:rPr>
        <w:t>third-party</w:t>
      </w:r>
      <w:r w:rsidRPr="00A24176">
        <w:rPr>
          <w:rFonts w:cs="Arial"/>
        </w:rPr>
        <w:t xml:space="preserve"> costs which Borrower reasonably incurs in connection with any such due diligence investigation.</w:t>
      </w:r>
    </w:p>
    <w:p w14:paraId="1AFDBECD" w14:textId="77777777" w:rsidR="00A24176" w:rsidRPr="00A24176" w:rsidRDefault="00A24176" w:rsidP="00756257">
      <w:pPr>
        <w:ind w:left="2160" w:hanging="720"/>
        <w:rPr>
          <w:rFonts w:cs="Arial"/>
        </w:rPr>
      </w:pPr>
    </w:p>
    <w:p w14:paraId="138D8BBA" w14:textId="471F98F1" w:rsidR="00A24176" w:rsidRPr="00A24176" w:rsidRDefault="00A24176" w:rsidP="00756257">
      <w:pPr>
        <w:ind w:left="2160" w:hanging="720"/>
        <w:rPr>
          <w:rFonts w:cs="Arial"/>
        </w:rPr>
      </w:pPr>
      <w:r w:rsidRPr="00A24176">
        <w:rPr>
          <w:rFonts w:cs="Arial"/>
        </w:rPr>
        <w:t>(c)</w:t>
      </w:r>
      <w:r w:rsidRPr="00A24176">
        <w:rPr>
          <w:rFonts w:cs="Arial"/>
        </w:rPr>
        <w:tab/>
        <w:t xml:space="preserve">Borrower will make such representations and warranties as of the closing date of the Secondary Market Transaction with respect to the Mortgaged Property, Borrower and the </w:t>
      </w:r>
      <w:r w:rsidR="00811758">
        <w:rPr>
          <w:rFonts w:cs="Arial"/>
        </w:rPr>
        <w:t>Financing Documents</w:t>
      </w:r>
      <w:r w:rsidRPr="00A24176">
        <w:rPr>
          <w:rFonts w:cs="Arial"/>
        </w:rPr>
        <w:t xml:space="preserve"> as are customarily provided in securitization transactions and as may be requested by </w:t>
      </w:r>
      <w:r w:rsidR="00170A30">
        <w:rPr>
          <w:rFonts w:cs="Arial"/>
        </w:rPr>
        <w:t>Funding Lender</w:t>
      </w:r>
      <w:r w:rsidRPr="00A24176">
        <w:rPr>
          <w:rFonts w:cs="Arial"/>
        </w:rPr>
        <w:t xml:space="preserve"> in </w:t>
      </w:r>
      <w:r w:rsidR="00170A30">
        <w:rPr>
          <w:rFonts w:cs="Arial"/>
        </w:rPr>
        <w:t>Funding Lender</w:t>
      </w:r>
      <w:r w:rsidRPr="00A24176">
        <w:rPr>
          <w:rFonts w:cs="Arial"/>
        </w:rPr>
        <w:t xml:space="preserve">’s Discretion or may reasonably be requested by the Rating Agencies and consistent with the facts covered by such representations and warranties as they exist on the date of this </w:t>
      </w:r>
      <w:r w:rsidR="00170A30">
        <w:rPr>
          <w:rFonts w:cs="Arial"/>
        </w:rPr>
        <w:t>Continuing Covenant Agreement</w:t>
      </w:r>
      <w:r w:rsidRPr="00A24176">
        <w:rPr>
          <w:rFonts w:cs="Arial"/>
        </w:rPr>
        <w:t xml:space="preserve">, including the representations and warranties made in the </w:t>
      </w:r>
      <w:r w:rsidR="00811758">
        <w:rPr>
          <w:rFonts w:cs="Arial"/>
        </w:rPr>
        <w:t>Financing Documents</w:t>
      </w:r>
      <w:r w:rsidRPr="00A24176">
        <w:rPr>
          <w:rFonts w:cs="Arial"/>
        </w:rPr>
        <w:t xml:space="preserve">, together, if customary, with appropriate verification of and/or consents to the Provided Information through letters of auditors or opinions of counsel of independent attorneys acceptable to </w:t>
      </w:r>
      <w:r w:rsidR="00170A30">
        <w:rPr>
          <w:rFonts w:cs="Arial"/>
        </w:rPr>
        <w:t>Funding Lender</w:t>
      </w:r>
      <w:r w:rsidRPr="00A24176">
        <w:rPr>
          <w:rFonts w:cs="Arial"/>
        </w:rPr>
        <w:t xml:space="preserve"> and to the Rating Agencies. </w:t>
      </w:r>
      <w:r w:rsidR="00170A30">
        <w:rPr>
          <w:rFonts w:cs="Arial"/>
        </w:rPr>
        <w:t>Funding Lender</w:t>
      </w:r>
      <w:r w:rsidRPr="00A24176">
        <w:rPr>
          <w:rFonts w:cs="Arial"/>
        </w:rPr>
        <w:t xml:space="preserve"> will reimburse Borrower for any </w:t>
      </w:r>
      <w:r w:rsidR="00C21DFB" w:rsidRPr="00A24176">
        <w:rPr>
          <w:rFonts w:cs="Arial"/>
        </w:rPr>
        <w:t>third-party</w:t>
      </w:r>
      <w:r w:rsidRPr="00A24176">
        <w:rPr>
          <w:rFonts w:cs="Arial"/>
        </w:rPr>
        <w:t xml:space="preserve"> costs which Borrower reasonably incurs in connection with obtaining such auditors’ letters or opinions of counsel.</w:t>
      </w:r>
    </w:p>
    <w:p w14:paraId="0EEEB60F" w14:textId="77777777" w:rsidR="00A24176" w:rsidRPr="00A24176" w:rsidRDefault="00A24176" w:rsidP="00756257">
      <w:pPr>
        <w:ind w:left="2160" w:hanging="720"/>
        <w:rPr>
          <w:rFonts w:cs="Arial"/>
        </w:rPr>
      </w:pPr>
    </w:p>
    <w:p w14:paraId="76CB1318" w14:textId="20B0B159" w:rsidR="00A24176" w:rsidRPr="00A24176" w:rsidRDefault="00A24176" w:rsidP="00756257">
      <w:pPr>
        <w:ind w:left="2160" w:hanging="720"/>
        <w:rPr>
          <w:rFonts w:cs="Arial"/>
        </w:rPr>
      </w:pPr>
      <w:r w:rsidRPr="00A24176">
        <w:rPr>
          <w:rFonts w:cs="Arial"/>
        </w:rPr>
        <w:t>(d)</w:t>
      </w:r>
      <w:r w:rsidRPr="00A24176">
        <w:rPr>
          <w:rFonts w:cs="Arial"/>
        </w:rPr>
        <w:tab/>
        <w:t xml:space="preserve">Borrower will execute such amendments to the </w:t>
      </w:r>
      <w:r w:rsidR="00811758">
        <w:rPr>
          <w:rFonts w:cs="Arial"/>
        </w:rPr>
        <w:t>Financing Documents</w:t>
      </w:r>
      <w:r w:rsidRPr="00A24176">
        <w:rPr>
          <w:rFonts w:cs="Arial"/>
        </w:rPr>
        <w:t xml:space="preserve"> and organizational documents, establish and fund the Replacement Reserve Fund, if any, and complete any </w:t>
      </w:r>
      <w:r w:rsidR="009F5D1F">
        <w:rPr>
          <w:rFonts w:cs="Arial"/>
        </w:rPr>
        <w:t>r</w:t>
      </w:r>
      <w:r w:rsidRPr="00A24176">
        <w:rPr>
          <w:rFonts w:cs="Arial"/>
        </w:rPr>
        <w:t xml:space="preserve">epairs as may be requested by </w:t>
      </w:r>
      <w:r w:rsidR="00170A30">
        <w:rPr>
          <w:rFonts w:cs="Arial"/>
        </w:rPr>
        <w:t>Funding Lender</w:t>
      </w:r>
      <w:r w:rsidRPr="00A24176">
        <w:rPr>
          <w:rFonts w:cs="Arial"/>
        </w:rPr>
        <w:t xml:space="preserve"> or by the Rating Agencies or otherwise to effect the Secondary Market Transaction; provided, however, that the Borrower will not be required to modify or amend any </w:t>
      </w:r>
      <w:r w:rsidR="00767F22">
        <w:rPr>
          <w:rFonts w:cs="Arial"/>
        </w:rPr>
        <w:t>Financing Document</w:t>
      </w:r>
      <w:r w:rsidRPr="00A24176">
        <w:rPr>
          <w:rFonts w:cs="Arial"/>
        </w:rPr>
        <w:t xml:space="preserve"> if such modification or amendment would (i) change the interest rate, the stated maturity or the amortization of principal set forth in the </w:t>
      </w:r>
      <w:r w:rsidR="00F12648">
        <w:rPr>
          <w:rFonts w:cs="Arial"/>
        </w:rPr>
        <w:t xml:space="preserve">Project </w:t>
      </w:r>
      <w:r w:rsidRPr="00A24176">
        <w:rPr>
          <w:rFonts w:cs="Arial"/>
        </w:rPr>
        <w:t xml:space="preserve">Note, or (ii) modify or amend any other material economic term of the </w:t>
      </w:r>
      <w:r w:rsidR="00F12648">
        <w:rPr>
          <w:rFonts w:cs="Arial"/>
        </w:rPr>
        <w:t xml:space="preserve">Project </w:t>
      </w:r>
      <w:r w:rsidRPr="00A24176">
        <w:rPr>
          <w:rFonts w:cs="Arial"/>
        </w:rPr>
        <w:t>Loan.</w:t>
      </w:r>
    </w:p>
    <w:p w14:paraId="67A88204" w14:textId="77777777" w:rsidR="00A24176" w:rsidRPr="00A24176" w:rsidRDefault="00A24176" w:rsidP="00756257">
      <w:pPr>
        <w:ind w:left="2160" w:hanging="720"/>
        <w:rPr>
          <w:rFonts w:cs="Arial"/>
          <w:b/>
          <w:highlight w:val="yellow"/>
        </w:rPr>
      </w:pPr>
    </w:p>
    <w:p w14:paraId="3C5CADFB" w14:textId="2572DD01" w:rsidR="00A24176" w:rsidRPr="00A24176" w:rsidRDefault="00A24176" w:rsidP="00272DA5">
      <w:pPr>
        <w:ind w:left="2160" w:hanging="720"/>
        <w:rPr>
          <w:rFonts w:cs="Arial"/>
        </w:rPr>
      </w:pPr>
      <w:r w:rsidRPr="00A24176">
        <w:rPr>
          <w:rFonts w:cs="Arial"/>
        </w:rPr>
        <w:t>(e)</w:t>
      </w:r>
      <w:r w:rsidRPr="00A24176">
        <w:rPr>
          <w:rFonts w:cs="Arial"/>
        </w:rPr>
        <w:tab/>
      </w:r>
      <w:r w:rsidR="00382C0F">
        <w:rPr>
          <w:rFonts w:cs="Arial"/>
        </w:rPr>
        <w:t xml:space="preserve">If the </w:t>
      </w:r>
      <w:r w:rsidR="00811758">
        <w:rPr>
          <w:rFonts w:cs="Arial"/>
        </w:rPr>
        <w:t xml:space="preserve">Project </w:t>
      </w:r>
      <w:r w:rsidR="00382C0F">
        <w:rPr>
          <w:rFonts w:cs="Arial"/>
        </w:rPr>
        <w:t xml:space="preserve">Loan Amount is $40,000,000 or greater, then </w:t>
      </w:r>
      <w:r w:rsidRPr="00A24176">
        <w:rPr>
          <w:rFonts w:cs="Arial"/>
        </w:rPr>
        <w:t xml:space="preserve">Borrower will cause its counsel to render </w:t>
      </w:r>
      <w:r w:rsidR="009F5D1F">
        <w:rPr>
          <w:rFonts w:cs="Arial"/>
        </w:rPr>
        <w:t xml:space="preserve">such </w:t>
      </w:r>
      <w:r w:rsidRPr="00A24176">
        <w:rPr>
          <w:rFonts w:cs="Arial"/>
        </w:rPr>
        <w:t>opinions</w:t>
      </w:r>
      <w:r w:rsidR="009F5D1F">
        <w:rPr>
          <w:rFonts w:cs="Arial"/>
        </w:rPr>
        <w:t xml:space="preserve"> as may be requested by Funding Lender</w:t>
      </w:r>
      <w:r w:rsidRPr="00A24176">
        <w:rPr>
          <w:rFonts w:cs="Arial"/>
        </w:rPr>
        <w:t xml:space="preserve">, which may be relied upon by </w:t>
      </w:r>
      <w:r w:rsidR="00170A30">
        <w:rPr>
          <w:rFonts w:cs="Arial"/>
        </w:rPr>
        <w:t>Funding Lender</w:t>
      </w:r>
      <w:r w:rsidRPr="00A24176">
        <w:rPr>
          <w:rFonts w:cs="Arial"/>
        </w:rPr>
        <w:t xml:space="preserve">, the Rating Agencies and their respective counsel, agents and representatives, as to nonconsolidation or any other opinion customary in securitization transactions with respect to the Mortgaged Property and Borrower and its </w:t>
      </w:r>
      <w:r w:rsidRPr="00A24176">
        <w:rPr>
          <w:rFonts w:cs="Arial"/>
        </w:rPr>
        <w:lastRenderedPageBreak/>
        <w:t xml:space="preserve">Affiliates, which counsel and opinions must be satisfactory to </w:t>
      </w:r>
      <w:r w:rsidR="00170A30">
        <w:rPr>
          <w:rFonts w:cs="Arial"/>
        </w:rPr>
        <w:t>Funding Lender</w:t>
      </w:r>
      <w:r w:rsidRPr="00A24176">
        <w:rPr>
          <w:rFonts w:cs="Arial"/>
        </w:rPr>
        <w:t xml:space="preserve"> in </w:t>
      </w:r>
      <w:r w:rsidR="00170A30">
        <w:rPr>
          <w:rFonts w:cs="Arial"/>
        </w:rPr>
        <w:t>Funding Lender</w:t>
      </w:r>
      <w:r w:rsidRPr="00A24176">
        <w:rPr>
          <w:rFonts w:cs="Arial"/>
        </w:rPr>
        <w:t xml:space="preserve">’s Discretion and be reasonably satisfactory to the Rating Agencies. </w:t>
      </w:r>
      <w:r w:rsidR="00170A30">
        <w:rPr>
          <w:rFonts w:cs="Arial"/>
          <w:bCs/>
        </w:rPr>
        <w:t>Funding Lender</w:t>
      </w:r>
      <w:r w:rsidRPr="00A24176">
        <w:rPr>
          <w:rFonts w:cs="Arial"/>
          <w:bCs/>
        </w:rPr>
        <w:t xml:space="preserve"> will reimburse Borrower</w:t>
      </w:r>
      <w:r w:rsidRPr="00A24176">
        <w:rPr>
          <w:rFonts w:cs="Arial"/>
        </w:rPr>
        <w:t xml:space="preserve"> for any </w:t>
      </w:r>
      <w:r w:rsidR="00C21DFB" w:rsidRPr="00A24176">
        <w:rPr>
          <w:rFonts w:cs="Arial"/>
        </w:rPr>
        <w:t>third-party</w:t>
      </w:r>
      <w:r w:rsidRPr="00A24176">
        <w:rPr>
          <w:rFonts w:cs="Arial"/>
        </w:rPr>
        <w:t xml:space="preserve"> costs which Borrower reasonably incurs in connection with obtaining such opinions of Borrower’s counsel.</w:t>
      </w:r>
    </w:p>
    <w:p w14:paraId="4A8B4AC7" w14:textId="77777777" w:rsidR="00A24176" w:rsidRPr="00A24176" w:rsidRDefault="00A24176" w:rsidP="00756257">
      <w:pPr>
        <w:rPr>
          <w:rFonts w:cs="Arial"/>
        </w:rPr>
      </w:pPr>
    </w:p>
    <w:p w14:paraId="5CC090E7" w14:textId="77777777" w:rsidR="00A24176" w:rsidRPr="00A24176" w:rsidRDefault="00A24176" w:rsidP="00A24176">
      <w:pPr>
        <w:rPr>
          <w:rFonts w:cs="Arial"/>
        </w:rPr>
      </w:pPr>
      <w:r w:rsidRPr="00A24176">
        <w:rPr>
          <w:rFonts w:cs="Arial"/>
        </w:rPr>
        <w:t>B.</w:t>
      </w:r>
      <w:r w:rsidRPr="00A24176">
        <w:rPr>
          <w:rFonts w:cs="Arial"/>
        </w:rPr>
        <w:tab/>
        <w:t xml:space="preserve">The following definitions are added to Article XII: </w:t>
      </w:r>
    </w:p>
    <w:p w14:paraId="6283DB3D" w14:textId="77777777" w:rsidR="00A24176" w:rsidRPr="00A24176" w:rsidRDefault="00A24176" w:rsidP="00A24176">
      <w:pPr>
        <w:rPr>
          <w:rFonts w:cs="Arial"/>
        </w:rPr>
      </w:pPr>
    </w:p>
    <w:p w14:paraId="777E8D85" w14:textId="0AD4490F" w:rsidR="00A24176" w:rsidRPr="00A24176" w:rsidRDefault="00A24176" w:rsidP="00A24176">
      <w:pPr>
        <w:ind w:left="720"/>
        <w:rPr>
          <w:rFonts w:cs="Arial"/>
          <w:bCs/>
        </w:rPr>
      </w:pPr>
      <w:r w:rsidRPr="00A9020C">
        <w:rPr>
          <w:rFonts w:cs="Arial"/>
        </w:rPr>
        <w:t>“</w:t>
      </w:r>
      <w:r w:rsidRPr="00A24176">
        <w:rPr>
          <w:rFonts w:cs="Arial"/>
          <w:b/>
        </w:rPr>
        <w:t>Provided Information</w:t>
      </w:r>
      <w:r w:rsidRPr="00A9020C">
        <w:rPr>
          <w:rFonts w:cs="Arial"/>
        </w:rPr>
        <w:t>”</w:t>
      </w:r>
      <w:r w:rsidRPr="00A24176">
        <w:rPr>
          <w:rFonts w:cs="Arial"/>
          <w:b/>
          <w:bCs/>
        </w:rPr>
        <w:t xml:space="preserve"> </w:t>
      </w:r>
      <w:r w:rsidRPr="00A24176">
        <w:rPr>
          <w:rFonts w:cs="Arial"/>
          <w:bCs/>
        </w:rPr>
        <w:t xml:space="preserve">means the information provided by Borrower as required by </w:t>
      </w:r>
      <w:r w:rsidR="00401B94" w:rsidRPr="00A24176">
        <w:rPr>
          <w:rFonts w:cs="Arial"/>
          <w:bCs/>
        </w:rPr>
        <w:t>Section</w:t>
      </w:r>
      <w:r w:rsidR="00401B94">
        <w:rPr>
          <w:rFonts w:cs="Arial"/>
          <w:bCs/>
        </w:rPr>
        <w:t> </w:t>
      </w:r>
      <w:r w:rsidRPr="00A24176">
        <w:rPr>
          <w:rFonts w:cs="Arial"/>
          <w:bCs/>
        </w:rPr>
        <w:t>11.1</w:t>
      </w:r>
      <w:r w:rsidR="00401B94">
        <w:rPr>
          <w:rFonts w:cs="Arial"/>
          <w:bCs/>
        </w:rPr>
        <w:t>5</w:t>
      </w:r>
      <w:r w:rsidRPr="00A24176">
        <w:rPr>
          <w:rFonts w:cs="Arial"/>
          <w:bCs/>
        </w:rPr>
        <w:t xml:space="preserve">(a), </w:t>
      </w:r>
      <w:r w:rsidR="00382C0F">
        <w:rPr>
          <w:rFonts w:cs="Arial"/>
          <w:bCs/>
        </w:rPr>
        <w:t>11.1</w:t>
      </w:r>
      <w:r w:rsidR="00401B94">
        <w:rPr>
          <w:rFonts w:cs="Arial"/>
          <w:bCs/>
        </w:rPr>
        <w:t>5</w:t>
      </w:r>
      <w:r w:rsidRPr="00A24176">
        <w:rPr>
          <w:rFonts w:cs="Arial"/>
          <w:bCs/>
        </w:rPr>
        <w:t xml:space="preserve">(b) and </w:t>
      </w:r>
      <w:r w:rsidR="00382C0F">
        <w:rPr>
          <w:rFonts w:cs="Arial"/>
          <w:bCs/>
        </w:rPr>
        <w:t>11.1</w:t>
      </w:r>
      <w:r w:rsidR="00401B94">
        <w:rPr>
          <w:rFonts w:cs="Arial"/>
          <w:bCs/>
        </w:rPr>
        <w:t>5</w:t>
      </w:r>
      <w:r w:rsidRPr="00A24176">
        <w:rPr>
          <w:rFonts w:cs="Arial"/>
          <w:bCs/>
        </w:rPr>
        <w:t>(c).</w:t>
      </w:r>
    </w:p>
    <w:p w14:paraId="4D0829C4" w14:textId="77777777" w:rsidR="00A24176" w:rsidRPr="00A24176" w:rsidRDefault="00A24176" w:rsidP="00A24176">
      <w:pPr>
        <w:ind w:left="720"/>
        <w:rPr>
          <w:rFonts w:cs="Arial"/>
        </w:rPr>
      </w:pPr>
      <w:r w:rsidRPr="00A24176">
        <w:rPr>
          <w:rFonts w:cs="Arial"/>
        </w:rPr>
        <w:t xml:space="preserve"> </w:t>
      </w:r>
    </w:p>
    <w:p w14:paraId="4D37272F" w14:textId="77777777" w:rsidR="00A24176" w:rsidRPr="00A24176" w:rsidRDefault="00A24176" w:rsidP="00A24176">
      <w:pPr>
        <w:ind w:left="720"/>
        <w:rPr>
          <w:rFonts w:cs="Arial"/>
        </w:rPr>
      </w:pPr>
      <w:r w:rsidRPr="00A24176">
        <w:rPr>
          <w:rFonts w:cs="Arial"/>
        </w:rPr>
        <w:t>“</w:t>
      </w:r>
      <w:r w:rsidRPr="00A24176">
        <w:rPr>
          <w:rFonts w:cs="Arial"/>
          <w:b/>
        </w:rPr>
        <w:t>Securities</w:t>
      </w:r>
      <w:r w:rsidRPr="00A24176">
        <w:rPr>
          <w:rFonts w:cs="Arial"/>
        </w:rPr>
        <w:t>” means single or multi</w:t>
      </w:r>
      <w:r w:rsidRPr="00A24176">
        <w:rPr>
          <w:rFonts w:cs="Arial"/>
        </w:rPr>
        <w:noBreakHyphen/>
        <w:t xml:space="preserve">class securities. </w:t>
      </w:r>
    </w:p>
    <w:p w14:paraId="4EFF1EB4" w14:textId="57E70DE4" w:rsidR="00E73FB7" w:rsidRPr="00A24176" w:rsidRDefault="00E73FB7" w:rsidP="000A1DF9">
      <w:pPr>
        <w:tabs>
          <w:tab w:val="left" w:pos="1440"/>
        </w:tabs>
        <w:ind w:left="1440" w:hanging="720"/>
        <w:rPr>
          <w:rFonts w:cs="Arial"/>
        </w:rPr>
      </w:pPr>
    </w:p>
    <w:p w14:paraId="44B03CA4" w14:textId="0FE62D59" w:rsidR="000A1DF9" w:rsidRDefault="000A1DF9">
      <w:pPr>
        <w:spacing w:after="160" w:line="259" w:lineRule="auto"/>
        <w:rPr>
          <w:rFonts w:cs="Arial"/>
        </w:rPr>
      </w:pPr>
    </w:p>
    <w:sectPr w:rsid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F294" w14:textId="78AA4263" w:rsidR="000A1DF9" w:rsidRDefault="000A1DF9" w:rsidP="000A1DF9">
    <w:pPr>
      <w:pStyle w:val="Footer"/>
      <w:tabs>
        <w:tab w:val="left" w:pos="473"/>
        <w:tab w:val="right" w:pos="10080"/>
      </w:tabs>
    </w:pPr>
    <w:r>
      <w:t xml:space="preserve">Rider to </w:t>
    </w:r>
    <w:r w:rsidR="00170A30">
      <w:t>Continuing Covenant Agreement</w:t>
    </w:r>
    <w:r>
      <w:t xml:space="preserve"> </w:t>
    </w:r>
    <w:r w:rsidR="00170A30">
      <w:t>– TEL</w:t>
    </w:r>
  </w:p>
  <w:p w14:paraId="036F8DAB" w14:textId="11CE7E76" w:rsidR="00E73FB7" w:rsidRDefault="00A24176" w:rsidP="000A1DF9">
    <w:pPr>
      <w:pStyle w:val="Footer"/>
      <w:tabs>
        <w:tab w:val="right" w:pos="10080"/>
      </w:tabs>
    </w:pPr>
    <w:r w:rsidRPr="00A24176">
      <w:t>Cooperation with Rating Agencies and Investors</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18EAE5C"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D5BA3"/>
    <w:multiLevelType w:val="multilevel"/>
    <w:tmpl w:val="39D06366"/>
    <w:lvl w:ilvl="0">
      <w:start w:val="1"/>
      <w:numFmt w:val="decimal"/>
      <w:lvlRestart w:val="0"/>
      <w:pStyle w:val="Scheme4L2"/>
      <w:suff w:val="nothing"/>
      <w:lvlText w:val="ARTICLE %1"/>
      <w:lvlJc w:val="left"/>
      <w:pPr>
        <w:ind w:left="0" w:firstLine="0"/>
      </w:pPr>
      <w:rPr>
        <w:rFonts w:ascii="Times New Roman Bold" w:hAnsi="Times New Roman Bold" w:cs="Times New Roman" w:hint="default"/>
        <w:b/>
        <w:i w:val="0"/>
        <w:caps/>
        <w:smallCaps w:val="0"/>
        <w:sz w:val="24"/>
        <w:szCs w:val="24"/>
        <w:u w:val="none"/>
      </w:rPr>
    </w:lvl>
    <w:lvl w:ilvl="1">
      <w:start w:val="1"/>
      <w:numFmt w:val="decimalZero"/>
      <w:pStyle w:val="Scheme4L3"/>
      <w:isLgl/>
      <w:lvlText w:val="%1.%2."/>
      <w:lvlJc w:val="left"/>
      <w:pPr>
        <w:tabs>
          <w:tab w:val="num" w:pos="1440"/>
        </w:tabs>
        <w:ind w:left="0" w:firstLine="720"/>
      </w:pPr>
      <w:rPr>
        <w:rFonts w:ascii="Times New Roman" w:hAnsi="Times New Roman" w:cs="Times New Roman" w:hint="default"/>
        <w:b w:val="0"/>
        <w:i w:val="0"/>
        <w:caps w:val="0"/>
        <w:u w:val="none"/>
      </w:rPr>
    </w:lvl>
    <w:lvl w:ilvl="2">
      <w:start w:val="1"/>
      <w:numFmt w:val="lowerLetter"/>
      <w:pStyle w:val="Scheme4L4"/>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lowerRoman"/>
      <w:pStyle w:val="Scheme4L5"/>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upperLetter"/>
      <w:pStyle w:val="Scheme4L6"/>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upperLetter"/>
      <w:pStyle w:val="Scheme4L7"/>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pStyle w:val="Scheme4L8"/>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decimal"/>
      <w:pStyle w:val="Scheme4L9"/>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Letter"/>
      <w:pStyle w:val="TextC12H"/>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2"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num w:numId="1" w16cid:durableId="2003386559">
    <w:abstractNumId w:val="0"/>
  </w:num>
  <w:num w:numId="2" w16cid:durableId="1446727679">
    <w:abstractNumId w:val="2"/>
  </w:num>
  <w:num w:numId="3" w16cid:durableId="62639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52E1"/>
    <w:rsid w:val="00021DB3"/>
    <w:rsid w:val="0006195B"/>
    <w:rsid w:val="0007100C"/>
    <w:rsid w:val="000A1DF9"/>
    <w:rsid w:val="000D433F"/>
    <w:rsid w:val="00170A30"/>
    <w:rsid w:val="00272DA5"/>
    <w:rsid w:val="002C21E5"/>
    <w:rsid w:val="002D0EB1"/>
    <w:rsid w:val="002D4CB2"/>
    <w:rsid w:val="002E0511"/>
    <w:rsid w:val="00382C0F"/>
    <w:rsid w:val="003C4EAE"/>
    <w:rsid w:val="00401B94"/>
    <w:rsid w:val="00477ACE"/>
    <w:rsid w:val="004D1645"/>
    <w:rsid w:val="00560E9F"/>
    <w:rsid w:val="005F7525"/>
    <w:rsid w:val="00663F3D"/>
    <w:rsid w:val="006903FD"/>
    <w:rsid w:val="006A1F77"/>
    <w:rsid w:val="006D4E96"/>
    <w:rsid w:val="00707C89"/>
    <w:rsid w:val="00756257"/>
    <w:rsid w:val="00767F22"/>
    <w:rsid w:val="007A0BD8"/>
    <w:rsid w:val="00811758"/>
    <w:rsid w:val="00833F5B"/>
    <w:rsid w:val="008709EC"/>
    <w:rsid w:val="008943EB"/>
    <w:rsid w:val="009A2C13"/>
    <w:rsid w:val="009F5D1F"/>
    <w:rsid w:val="00A24176"/>
    <w:rsid w:val="00A31838"/>
    <w:rsid w:val="00A33A66"/>
    <w:rsid w:val="00A51C85"/>
    <w:rsid w:val="00A9020C"/>
    <w:rsid w:val="00AA6FE7"/>
    <w:rsid w:val="00AC724A"/>
    <w:rsid w:val="00B565A9"/>
    <w:rsid w:val="00B604F3"/>
    <w:rsid w:val="00BD7054"/>
    <w:rsid w:val="00C008B4"/>
    <w:rsid w:val="00C21DFB"/>
    <w:rsid w:val="00CA22B1"/>
    <w:rsid w:val="00CB19B4"/>
    <w:rsid w:val="00CE2962"/>
    <w:rsid w:val="00D92550"/>
    <w:rsid w:val="00DD2D2B"/>
    <w:rsid w:val="00E73FB7"/>
    <w:rsid w:val="00EF2A33"/>
    <w:rsid w:val="00F12648"/>
    <w:rsid w:val="00F7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paragraph" w:styleId="Heading5">
    <w:name w:val="heading 5"/>
    <w:aliases w:val="H5"/>
    <w:basedOn w:val="Normal"/>
    <w:next w:val="Normal"/>
    <w:link w:val="Heading5Char"/>
    <w:qFormat/>
    <w:rsid w:val="00A24176"/>
    <w:pPr>
      <w:keepNext/>
      <w:tabs>
        <w:tab w:val="left" w:pos="360"/>
        <w:tab w:val="left" w:pos="720"/>
        <w:tab w:val="left" w:pos="1440"/>
        <w:tab w:val="left" w:pos="3600"/>
      </w:tabs>
      <w:overflowPunct w:val="0"/>
      <w:autoSpaceDE w:val="0"/>
      <w:autoSpaceDN w:val="0"/>
      <w:adjustRightInd w:val="0"/>
      <w:ind w:firstLine="720"/>
      <w:textAlignment w:val="baseline"/>
      <w:outlineLvl w:val="4"/>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character" w:customStyle="1" w:styleId="Heading5Char">
    <w:name w:val="Heading 5 Char"/>
    <w:aliases w:val="H5 Char"/>
    <w:basedOn w:val="DefaultParagraphFont"/>
    <w:link w:val="Heading5"/>
    <w:rsid w:val="00A24176"/>
    <w:rPr>
      <w:rFonts w:ascii="Times New Roman" w:eastAsia="Times New Roman" w:hAnsi="Times New Roman" w:cs="Times New Roman"/>
      <w:b/>
      <w:bCs/>
      <w:color w:val="auto"/>
      <w:sz w:val="24"/>
      <w:szCs w:val="20"/>
    </w:rPr>
  </w:style>
  <w:style w:type="paragraph" w:customStyle="1" w:styleId="Scheme11L1">
    <w:name w:val="Scheme11_L1"/>
    <w:basedOn w:val="Normal"/>
    <w:next w:val="BodyText"/>
    <w:rsid w:val="00A24176"/>
    <w:pPr>
      <w:numPr>
        <w:numId w:val="2"/>
      </w:numPr>
      <w:spacing w:after="240"/>
      <w:jc w:val="both"/>
      <w:outlineLvl w:val="0"/>
    </w:pPr>
    <w:rPr>
      <w:rFonts w:ascii="Times New Roman" w:hAnsi="Times New Roman"/>
      <w:sz w:val="24"/>
    </w:rPr>
  </w:style>
  <w:style w:type="paragraph" w:customStyle="1" w:styleId="Scheme11L2">
    <w:name w:val="Scheme11_L2"/>
    <w:basedOn w:val="Scheme11L1"/>
    <w:next w:val="BodyText"/>
    <w:rsid w:val="00A24176"/>
    <w:pPr>
      <w:numPr>
        <w:ilvl w:val="1"/>
      </w:numPr>
      <w:outlineLvl w:val="1"/>
    </w:pPr>
    <w:rPr>
      <w:bCs/>
    </w:rPr>
  </w:style>
  <w:style w:type="paragraph" w:customStyle="1" w:styleId="Scheme11L3">
    <w:name w:val="Scheme11_L3"/>
    <w:basedOn w:val="Scheme11L2"/>
    <w:next w:val="BodyText"/>
    <w:rsid w:val="00A24176"/>
    <w:pPr>
      <w:numPr>
        <w:ilvl w:val="2"/>
      </w:numPr>
      <w:outlineLvl w:val="2"/>
    </w:pPr>
  </w:style>
  <w:style w:type="paragraph" w:customStyle="1" w:styleId="Scheme11L4">
    <w:name w:val="Scheme11_L4"/>
    <w:basedOn w:val="Scheme11L3"/>
    <w:next w:val="BodyText"/>
    <w:rsid w:val="00A24176"/>
    <w:pPr>
      <w:numPr>
        <w:ilvl w:val="3"/>
      </w:numPr>
      <w:outlineLvl w:val="3"/>
    </w:pPr>
  </w:style>
  <w:style w:type="paragraph" w:customStyle="1" w:styleId="Scheme11L5">
    <w:name w:val="Scheme11_L5"/>
    <w:basedOn w:val="Scheme11L4"/>
    <w:next w:val="BodyText"/>
    <w:rsid w:val="00A24176"/>
    <w:pPr>
      <w:numPr>
        <w:ilvl w:val="4"/>
      </w:numPr>
      <w:outlineLvl w:val="4"/>
    </w:pPr>
  </w:style>
  <w:style w:type="paragraph" w:customStyle="1" w:styleId="Scheme11L6">
    <w:name w:val="Scheme11_L6"/>
    <w:basedOn w:val="Scheme11L5"/>
    <w:next w:val="BodyText"/>
    <w:rsid w:val="00A24176"/>
    <w:pPr>
      <w:numPr>
        <w:ilvl w:val="5"/>
      </w:numPr>
      <w:jc w:val="left"/>
      <w:outlineLvl w:val="5"/>
    </w:pPr>
  </w:style>
  <w:style w:type="paragraph" w:customStyle="1" w:styleId="Scheme11L7">
    <w:name w:val="Scheme11_L7"/>
    <w:basedOn w:val="Scheme11L6"/>
    <w:next w:val="BodyText"/>
    <w:rsid w:val="00A24176"/>
    <w:pPr>
      <w:numPr>
        <w:ilvl w:val="6"/>
      </w:numPr>
      <w:outlineLvl w:val="6"/>
    </w:pPr>
  </w:style>
  <w:style w:type="paragraph" w:customStyle="1" w:styleId="Scheme11L8">
    <w:name w:val="Scheme11_L8"/>
    <w:basedOn w:val="Scheme11L7"/>
    <w:next w:val="BodyText"/>
    <w:rsid w:val="00A24176"/>
    <w:pPr>
      <w:numPr>
        <w:ilvl w:val="7"/>
      </w:numPr>
      <w:outlineLvl w:val="7"/>
    </w:pPr>
  </w:style>
  <w:style w:type="paragraph" w:customStyle="1" w:styleId="Scheme11L9">
    <w:name w:val="Scheme11_L9"/>
    <w:basedOn w:val="Scheme11L8"/>
    <w:next w:val="BodyText"/>
    <w:rsid w:val="00A24176"/>
    <w:pPr>
      <w:numPr>
        <w:ilvl w:val="8"/>
      </w:numPr>
      <w:outlineLvl w:val="8"/>
    </w:pPr>
  </w:style>
  <w:style w:type="paragraph" w:customStyle="1" w:styleId="Scheme4L2">
    <w:name w:val="Scheme4_L2"/>
    <w:basedOn w:val="Normal"/>
    <w:next w:val="BodyText"/>
    <w:rsid w:val="00A24176"/>
    <w:pPr>
      <w:numPr>
        <w:numId w:val="3"/>
      </w:numPr>
      <w:tabs>
        <w:tab w:val="num" w:pos="360"/>
        <w:tab w:val="num" w:pos="2880"/>
      </w:tabs>
      <w:spacing w:after="240"/>
      <w:ind w:left="2880" w:hanging="720"/>
      <w:jc w:val="both"/>
      <w:outlineLvl w:val="1"/>
    </w:pPr>
    <w:rPr>
      <w:rFonts w:ascii="Times New Roman" w:hAnsi="Times New Roman"/>
      <w:sz w:val="24"/>
    </w:rPr>
  </w:style>
  <w:style w:type="paragraph" w:customStyle="1" w:styleId="Scheme4L3">
    <w:name w:val="Scheme4_L3"/>
    <w:basedOn w:val="Scheme4L2"/>
    <w:next w:val="BodyText"/>
    <w:rsid w:val="00A24176"/>
    <w:pPr>
      <w:numPr>
        <w:ilvl w:val="1"/>
      </w:numPr>
      <w:tabs>
        <w:tab w:val="clear" w:pos="1440"/>
        <w:tab w:val="num" w:pos="360"/>
        <w:tab w:val="num" w:pos="3240"/>
      </w:tabs>
      <w:ind w:left="3240" w:hanging="180"/>
      <w:outlineLvl w:val="2"/>
    </w:pPr>
  </w:style>
  <w:style w:type="paragraph" w:customStyle="1" w:styleId="Scheme4L4">
    <w:name w:val="Scheme4_L4"/>
    <w:basedOn w:val="Scheme4L3"/>
    <w:next w:val="BodyText"/>
    <w:rsid w:val="00A24176"/>
    <w:pPr>
      <w:numPr>
        <w:ilvl w:val="2"/>
      </w:numPr>
      <w:tabs>
        <w:tab w:val="clear" w:pos="2160"/>
        <w:tab w:val="clear" w:pos="2880"/>
        <w:tab w:val="num" w:pos="360"/>
        <w:tab w:val="num" w:pos="3960"/>
      </w:tabs>
      <w:ind w:left="3960" w:hanging="360"/>
      <w:outlineLvl w:val="3"/>
    </w:pPr>
  </w:style>
  <w:style w:type="paragraph" w:customStyle="1" w:styleId="Scheme4L5">
    <w:name w:val="Scheme4_L5"/>
    <w:basedOn w:val="Scheme4L4"/>
    <w:next w:val="BodyText"/>
    <w:rsid w:val="00A24176"/>
    <w:pPr>
      <w:numPr>
        <w:ilvl w:val="3"/>
      </w:numPr>
      <w:tabs>
        <w:tab w:val="clear" w:pos="2880"/>
        <w:tab w:val="clear" w:pos="3240"/>
        <w:tab w:val="num" w:pos="360"/>
        <w:tab w:val="num" w:pos="4680"/>
      </w:tabs>
      <w:ind w:left="4680" w:hanging="360"/>
      <w:outlineLvl w:val="4"/>
    </w:pPr>
  </w:style>
  <w:style w:type="paragraph" w:customStyle="1" w:styleId="Scheme4L6">
    <w:name w:val="Scheme4_L6"/>
    <w:basedOn w:val="Scheme4L5"/>
    <w:next w:val="BodyText"/>
    <w:rsid w:val="00A24176"/>
    <w:pPr>
      <w:numPr>
        <w:ilvl w:val="4"/>
      </w:numPr>
      <w:tabs>
        <w:tab w:val="clear" w:pos="3600"/>
        <w:tab w:val="clear" w:pos="3960"/>
        <w:tab w:val="num" w:pos="360"/>
        <w:tab w:val="num" w:pos="5400"/>
      </w:tabs>
      <w:ind w:left="5400" w:hanging="180"/>
      <w:outlineLvl w:val="5"/>
    </w:pPr>
  </w:style>
  <w:style w:type="paragraph" w:customStyle="1" w:styleId="Scheme4L7">
    <w:name w:val="Scheme4_L7"/>
    <w:basedOn w:val="Scheme4L6"/>
    <w:next w:val="BodyText"/>
    <w:rsid w:val="00A24176"/>
    <w:pPr>
      <w:numPr>
        <w:ilvl w:val="5"/>
      </w:numPr>
      <w:tabs>
        <w:tab w:val="clear" w:pos="4320"/>
        <w:tab w:val="clear" w:pos="4680"/>
        <w:tab w:val="num" w:pos="360"/>
        <w:tab w:val="num" w:pos="6120"/>
      </w:tabs>
      <w:ind w:left="6120" w:hanging="360"/>
      <w:outlineLvl w:val="6"/>
    </w:pPr>
  </w:style>
  <w:style w:type="paragraph" w:customStyle="1" w:styleId="Scheme4L8">
    <w:name w:val="Scheme4_L8"/>
    <w:basedOn w:val="Scheme4L7"/>
    <w:next w:val="BodyText"/>
    <w:rsid w:val="00A24176"/>
    <w:pPr>
      <w:numPr>
        <w:ilvl w:val="6"/>
      </w:numPr>
      <w:tabs>
        <w:tab w:val="clear" w:pos="5040"/>
        <w:tab w:val="clear" w:pos="5400"/>
        <w:tab w:val="num" w:pos="360"/>
        <w:tab w:val="num" w:pos="6840"/>
      </w:tabs>
      <w:ind w:left="6840" w:hanging="360"/>
      <w:outlineLvl w:val="7"/>
    </w:pPr>
  </w:style>
  <w:style w:type="paragraph" w:customStyle="1" w:styleId="Scheme4L9">
    <w:name w:val="Scheme4_L9"/>
    <w:basedOn w:val="Scheme4L8"/>
    <w:next w:val="BodyText"/>
    <w:rsid w:val="00A24176"/>
    <w:pPr>
      <w:numPr>
        <w:ilvl w:val="7"/>
      </w:numPr>
      <w:tabs>
        <w:tab w:val="clear" w:pos="5760"/>
        <w:tab w:val="clear" w:pos="6120"/>
        <w:tab w:val="num" w:pos="360"/>
        <w:tab w:val="num" w:pos="7560"/>
      </w:tabs>
      <w:ind w:left="7560" w:hanging="180"/>
      <w:outlineLvl w:val="8"/>
    </w:pPr>
  </w:style>
  <w:style w:type="paragraph" w:customStyle="1" w:styleId="TextC12H">
    <w:name w:val="Text  C12 (H)"/>
    <w:basedOn w:val="Normal"/>
    <w:rsid w:val="00A24176"/>
    <w:pPr>
      <w:numPr>
        <w:ilvl w:val="8"/>
        <w:numId w:val="3"/>
      </w:numPr>
      <w:tabs>
        <w:tab w:val="clear" w:pos="6480"/>
        <w:tab w:val="left" w:pos="-720"/>
      </w:tabs>
      <w:suppressAutoHyphens/>
      <w:overflowPunct w:val="0"/>
      <w:autoSpaceDE w:val="0"/>
      <w:autoSpaceDN w:val="0"/>
      <w:adjustRightInd w:val="0"/>
      <w:spacing w:after="240"/>
      <w:ind w:left="720" w:hanging="720"/>
    </w:pPr>
    <w:rPr>
      <w:sz w:val="24"/>
    </w:rPr>
  </w:style>
  <w:style w:type="paragraph" w:customStyle="1" w:styleId="Text">
    <w:name w:val="Text"/>
    <w:basedOn w:val="Normal"/>
    <w:next w:val="Normal"/>
    <w:rsid w:val="00A24176"/>
    <w:pPr>
      <w:spacing w:after="240"/>
    </w:pPr>
    <w:rPr>
      <w:rFonts w:ascii="Times New Roman" w:hAnsi="Times New Roman"/>
      <w:sz w:val="24"/>
    </w:rPr>
  </w:style>
  <w:style w:type="paragraph" w:styleId="Revision">
    <w:name w:val="Revision"/>
    <w:hidden/>
    <w:uiPriority w:val="99"/>
    <w:semiHidden/>
    <w:rsid w:val="00170A30"/>
    <w:pPr>
      <w:spacing w:after="0" w:line="240" w:lineRule="auto"/>
    </w:pPr>
    <w:rPr>
      <w:rFonts w:eastAsia="Times New Roman" w:cs="Times New Roman"/>
      <w:color w:val="auto"/>
      <w:szCs w:val="20"/>
    </w:rPr>
  </w:style>
  <w:style w:type="character" w:styleId="CommentReference">
    <w:name w:val="annotation reference"/>
    <w:basedOn w:val="DefaultParagraphFont"/>
    <w:uiPriority w:val="99"/>
    <w:semiHidden/>
    <w:unhideWhenUsed/>
    <w:rsid w:val="00F12648"/>
    <w:rPr>
      <w:sz w:val="16"/>
      <w:szCs w:val="16"/>
    </w:rPr>
  </w:style>
  <w:style w:type="paragraph" w:styleId="CommentText">
    <w:name w:val="annotation text"/>
    <w:basedOn w:val="Normal"/>
    <w:link w:val="CommentTextChar"/>
    <w:uiPriority w:val="99"/>
    <w:unhideWhenUsed/>
    <w:rsid w:val="00F12648"/>
  </w:style>
  <w:style w:type="character" w:customStyle="1" w:styleId="CommentTextChar">
    <w:name w:val="Comment Text Char"/>
    <w:basedOn w:val="DefaultParagraphFont"/>
    <w:link w:val="CommentText"/>
    <w:uiPriority w:val="99"/>
    <w:rsid w:val="00F12648"/>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F12648"/>
    <w:rPr>
      <w:b/>
      <w:bCs/>
    </w:rPr>
  </w:style>
  <w:style w:type="character" w:customStyle="1" w:styleId="CommentSubjectChar">
    <w:name w:val="Comment Subject Char"/>
    <w:basedOn w:val="CommentTextChar"/>
    <w:link w:val="CommentSubject"/>
    <w:uiPriority w:val="99"/>
    <w:semiHidden/>
    <w:rsid w:val="00F12648"/>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3437</Characters>
  <Application>Microsoft Office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2023-05-10T16:55:00Z</dcterms:created>
  <dcterms:modified xsi:type="dcterms:W3CDTF">2023-06-02T16:00:00Z</dcterms:modified>
</cp:coreProperties>
</file>