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B8FF5" w14:textId="73D2C72A" w:rsidR="00CB3F47" w:rsidRPr="00FC27C2" w:rsidRDefault="00CB3F47" w:rsidP="00CB3F47">
      <w:pPr>
        <w:pStyle w:val="Heading1"/>
      </w:pPr>
      <w:r w:rsidRPr="00FC27C2">
        <w:t>Overview (06/29/17)</w:t>
      </w:r>
    </w:p>
    <w:p w14:paraId="138E626E" w14:textId="404963B0" w:rsidR="00CB3F47" w:rsidRPr="00FC27C2" w:rsidRDefault="00CB3F47" w:rsidP="00CB3F47">
      <w:pPr>
        <w:pStyle w:val="h1-body"/>
      </w:pPr>
      <w:r w:rsidRPr="00FC27C2">
        <w:t>This chapter describes the requirements and procedures that the Seller/Servicers must follow to originate a Mortgage under the SBL Purchase Product. SBL Mortgages submitted for purchase must comply with the requirements of this chapter and all other applicable chapters of the Guide including the requirements of the following chapters, which apply specifically to SBL Mortgages:</w:t>
      </w:r>
      <w:r>
        <w:br/>
      </w:r>
    </w:p>
    <w:p w14:paraId="5862C0D2" w14:textId="1A355113" w:rsidR="00CB3F47" w:rsidRPr="00FC27C2" w:rsidRDefault="00CB3F47" w:rsidP="00CB3F47">
      <w:pPr>
        <w:pStyle w:val="h1-body"/>
        <w:numPr>
          <w:ilvl w:val="0"/>
          <w:numId w:val="4"/>
        </w:numPr>
      </w:pPr>
      <w:r w:rsidRPr="00FC27C2">
        <w:t>Chapter 6SBL:  SBL Legal Services for Mortgage Origination and Servicing</w:t>
      </w:r>
      <w:r>
        <w:br/>
      </w:r>
    </w:p>
    <w:p w14:paraId="5F8C253C" w14:textId="0A740B37" w:rsidR="00CB3F47" w:rsidRPr="00FC27C2" w:rsidRDefault="00CB3F47" w:rsidP="00CB3F47">
      <w:pPr>
        <w:pStyle w:val="h1-body"/>
        <w:numPr>
          <w:ilvl w:val="0"/>
          <w:numId w:val="4"/>
        </w:numPr>
      </w:pPr>
      <w:r w:rsidRPr="00FC27C2">
        <w:t>Chapter 8SBL:  SBL Property Fundamentals</w:t>
      </w:r>
      <w:r>
        <w:br/>
      </w:r>
    </w:p>
    <w:p w14:paraId="1E7D4CAF" w14:textId="20DEF122" w:rsidR="00CB3F47" w:rsidRPr="00FC27C2" w:rsidRDefault="00CB3F47" w:rsidP="00CB3F47">
      <w:pPr>
        <w:pStyle w:val="h1-body"/>
        <w:numPr>
          <w:ilvl w:val="0"/>
          <w:numId w:val="4"/>
        </w:numPr>
      </w:pPr>
      <w:r w:rsidRPr="00FC27C2">
        <w:t>Chapter 9SBL:  SBL Borrower/ Borrower Principal Fundamentals</w:t>
      </w:r>
      <w:r>
        <w:br/>
      </w:r>
    </w:p>
    <w:p w14:paraId="47F39FE7" w14:textId="2B4C7C8F" w:rsidR="00CB3F47" w:rsidRPr="00FC27C2" w:rsidRDefault="00CB3F47" w:rsidP="00CB3F47">
      <w:pPr>
        <w:pStyle w:val="h1-body"/>
        <w:numPr>
          <w:ilvl w:val="0"/>
          <w:numId w:val="4"/>
        </w:numPr>
      </w:pPr>
      <w:r w:rsidRPr="00FC27C2">
        <w:t>Chapter 62SBL: SBL Physical Risk Report Requirements</w:t>
      </w:r>
      <w:r>
        <w:br/>
      </w:r>
    </w:p>
    <w:p w14:paraId="684A41F3" w14:textId="30533A64" w:rsidR="00CB3F47" w:rsidRPr="00FC27C2" w:rsidRDefault="00CB3F47" w:rsidP="00CB3F47">
      <w:pPr>
        <w:pStyle w:val="h1-body"/>
        <w:numPr>
          <w:ilvl w:val="0"/>
          <w:numId w:val="4"/>
        </w:numPr>
      </w:pPr>
      <w:r w:rsidRPr="00FC27C2">
        <w:t>Chapter 64SBL: SBL Seismic Risk Assessment Requirements</w:t>
      </w:r>
      <w:r>
        <w:br/>
      </w:r>
    </w:p>
    <w:p w14:paraId="03D0E9BD" w14:textId="03F3C9E6" w:rsidR="00CB3F47" w:rsidRPr="00FC27C2" w:rsidRDefault="00CB3F47" w:rsidP="00CB3F47">
      <w:pPr>
        <w:pStyle w:val="h1-body"/>
        <w:numPr>
          <w:ilvl w:val="0"/>
          <w:numId w:val="4"/>
        </w:numPr>
      </w:pPr>
      <w:r w:rsidRPr="00FC27C2">
        <w:t>Chapter 29SBL: SBL Title, Description, Survey and UCC Search</w:t>
      </w:r>
      <w:r>
        <w:br/>
      </w:r>
    </w:p>
    <w:p w14:paraId="00A39EB4" w14:textId="3A953F8B" w:rsidR="00CB3F47" w:rsidRPr="00FC27C2" w:rsidRDefault="00CB3F47" w:rsidP="00CB3F47">
      <w:pPr>
        <w:pStyle w:val="h1-body"/>
        <w:numPr>
          <w:ilvl w:val="0"/>
          <w:numId w:val="4"/>
        </w:numPr>
      </w:pPr>
      <w:r w:rsidRPr="00FC27C2">
        <w:t>Chapter 41SBL: SBL Transfers of Ownership</w:t>
      </w:r>
      <w:r>
        <w:br/>
      </w:r>
    </w:p>
    <w:p w14:paraId="200C04DB" w14:textId="0AB379D0" w:rsidR="00CB3F47" w:rsidRPr="00FC27C2" w:rsidRDefault="00CB3F47" w:rsidP="00CB3F47">
      <w:pPr>
        <w:pStyle w:val="h1-body"/>
        <w:numPr>
          <w:ilvl w:val="0"/>
          <w:numId w:val="4"/>
        </w:numPr>
      </w:pPr>
      <w:r w:rsidRPr="00FC27C2">
        <w:t>Chapter 46SBL: SBL Collateral, Loss, Repurchase, Servicing and Securities Purchase</w:t>
      </w:r>
      <w:r>
        <w:br/>
      </w:r>
    </w:p>
    <w:p w14:paraId="08231882" w14:textId="77777777" w:rsidR="00CB3F47" w:rsidRPr="00FC27C2" w:rsidRDefault="00CB3F47" w:rsidP="00CB3F47">
      <w:pPr>
        <w:pStyle w:val="h1-body"/>
        <w:numPr>
          <w:ilvl w:val="0"/>
          <w:numId w:val="4"/>
        </w:numPr>
      </w:pPr>
      <w:r w:rsidRPr="00FC27C2">
        <w:t>Chapter 55SBL:  SBL Documentation and Deliveries</w:t>
      </w:r>
    </w:p>
    <w:p w14:paraId="456FF520" w14:textId="77777777" w:rsidR="00CB3F47" w:rsidRPr="00FC27C2" w:rsidRDefault="00CB3F47" w:rsidP="00CB3F47">
      <w:pPr>
        <w:pStyle w:val="h1-body"/>
      </w:pPr>
    </w:p>
    <w:p w14:paraId="731BB02A" w14:textId="77777777" w:rsidR="00CB3F47" w:rsidRPr="00FC27C2" w:rsidRDefault="00CB3F47" w:rsidP="00CB3F47">
      <w:pPr>
        <w:pStyle w:val="h1-body"/>
      </w:pPr>
      <w:r w:rsidRPr="00FC27C2">
        <w:t>Freddie Mac reserves the right to apply additional or more stringent requirements to any transaction.</w:t>
      </w:r>
    </w:p>
    <w:p w14:paraId="08423432" w14:textId="77777777" w:rsidR="00CB3F47" w:rsidRPr="00FC27C2" w:rsidRDefault="00CB3F47" w:rsidP="00CB3F47">
      <w:pPr>
        <w:pStyle w:val="h1-body"/>
      </w:pPr>
    </w:p>
    <w:p w14:paraId="6ED91C3B" w14:textId="3E1BE1B9" w:rsidR="00CB3F47" w:rsidRPr="00FC27C2" w:rsidRDefault="00CB3F47" w:rsidP="00CB3F47">
      <w:pPr>
        <w:pStyle w:val="Heading2"/>
      </w:pPr>
      <w:r w:rsidRPr="00FC27C2">
        <w:t>Description of the SBL Purchase Product (</w:t>
      </w:r>
      <w:r w:rsidR="00001226">
        <w:t>02/28/18</w:t>
      </w:r>
      <w:r w:rsidRPr="00FC27C2">
        <w:t>)</w:t>
      </w:r>
    </w:p>
    <w:p w14:paraId="1A1CFADF" w14:textId="77777777" w:rsidR="00CB3F47" w:rsidRPr="00FC27C2" w:rsidRDefault="00CB3F47" w:rsidP="00CB3F47">
      <w:pPr>
        <w:pStyle w:val="h2-body"/>
      </w:pPr>
      <w:r w:rsidRPr="00FC27C2">
        <w:t xml:space="preserve">Freddie Mac will purchase SBL Mortgages from approved Seller/Servicers. This Chapter describes the unique requirements for the SBL Purchase Product. </w:t>
      </w:r>
    </w:p>
    <w:p w14:paraId="64D1052A" w14:textId="77777777" w:rsidR="00CB3F47" w:rsidRPr="00FC27C2" w:rsidRDefault="00CB3F47" w:rsidP="00CB3F47">
      <w:pPr>
        <w:pStyle w:val="h2-body"/>
      </w:pPr>
    </w:p>
    <w:p w14:paraId="42D97D82" w14:textId="4EAF3E83" w:rsidR="00E527CE" w:rsidRDefault="00CB3F47" w:rsidP="00CB3F47">
      <w:pPr>
        <w:pStyle w:val="h2-body"/>
      </w:pPr>
      <w:r w:rsidRPr="00FC27C2">
        <w:t>Unless otherwise approved in writing by Freddie Mac, SBL Mortgages must have a principal balance between $1 million and $</w:t>
      </w:r>
      <w:r w:rsidR="00E527CE">
        <w:t>7.5</w:t>
      </w:r>
      <w:r w:rsidRPr="00FC27C2">
        <w:t xml:space="preserve"> million</w:t>
      </w:r>
      <w:r w:rsidR="00970AC8">
        <w:t>;</w:t>
      </w:r>
      <w:r w:rsidR="00E527CE">
        <w:t xml:space="preserve"> however, SBL Mortgages with a principal balance </w:t>
      </w:r>
      <w:r w:rsidR="00E527CE">
        <w:lastRenderedPageBreak/>
        <w:t>greater than $6 million may have additional due diligence requirements, unit restrictions, and market availability limitations as announced by Freddie Mac from time to time</w:t>
      </w:r>
      <w:r w:rsidRPr="00FC27C2">
        <w:t>.</w:t>
      </w:r>
    </w:p>
    <w:p w14:paraId="3EAFFA80" w14:textId="77777777" w:rsidR="00E527CE" w:rsidRDefault="00E527CE" w:rsidP="00CB3F47">
      <w:pPr>
        <w:pStyle w:val="h2-body"/>
      </w:pPr>
    </w:p>
    <w:p w14:paraId="41C01963" w14:textId="33FE0C4B" w:rsidR="00CB3F47" w:rsidRPr="00FC27C2" w:rsidRDefault="00CB3F47" w:rsidP="00CB3F47">
      <w:pPr>
        <w:pStyle w:val="h2-body"/>
      </w:pPr>
      <w:r w:rsidRPr="00FC27C2">
        <w:t>Loans of this size may also be purchased by Freddie Mac under the Multifamily Conventional Cash Mortgage Purchase Program, which is described in Chapter 17.</w:t>
      </w:r>
    </w:p>
    <w:p w14:paraId="019AD1D8" w14:textId="77777777" w:rsidR="00CB3F47" w:rsidRPr="00FC27C2" w:rsidRDefault="00CB3F47" w:rsidP="00CB3F47">
      <w:pPr>
        <w:pStyle w:val="h2-body"/>
      </w:pPr>
    </w:p>
    <w:p w14:paraId="2B710E02" w14:textId="77777777" w:rsidR="00CB3F47" w:rsidRPr="00FC27C2" w:rsidRDefault="00CB3F47" w:rsidP="00CB3F47">
      <w:pPr>
        <w:pStyle w:val="h2-body"/>
      </w:pPr>
      <w:r w:rsidRPr="00FC27C2">
        <w:t xml:space="preserve">Freddie Mac intends to securitize all SBL Mortgages.  Seller/Servicer’s obligations regarding repurchase of defaulted SBL Mortgages, loss sharing, and the securitization process are described in Chapter 46SBL. </w:t>
      </w:r>
    </w:p>
    <w:p w14:paraId="2B332198" w14:textId="77777777" w:rsidR="00CB3F47" w:rsidRPr="00FC27C2" w:rsidRDefault="00CB3F47" w:rsidP="00CB3F47">
      <w:pPr>
        <w:pStyle w:val="h1-body"/>
      </w:pPr>
    </w:p>
    <w:p w14:paraId="639C9268" w14:textId="29EA45BB" w:rsidR="00CB3F47" w:rsidRPr="00FC27C2" w:rsidRDefault="00CB3F47" w:rsidP="00CB3F47">
      <w:pPr>
        <w:pStyle w:val="Heading2"/>
      </w:pPr>
      <w:r w:rsidRPr="00FC27C2">
        <w:t>Investment quality (06/30/16)</w:t>
      </w:r>
    </w:p>
    <w:p w14:paraId="08A97B3C" w14:textId="77777777" w:rsidR="00CB3F47" w:rsidRPr="00FC27C2" w:rsidRDefault="00CB3F47" w:rsidP="00CB3F47">
      <w:pPr>
        <w:pStyle w:val="h2-body"/>
      </w:pPr>
      <w:r w:rsidRPr="00FC27C2">
        <w:t>Each SBL Mortgage must have characteristics that demonstrate investment quality (see Section 10.7).</w:t>
      </w:r>
    </w:p>
    <w:p w14:paraId="68E967B0" w14:textId="77777777" w:rsidR="00CB3F47" w:rsidRPr="00FC27C2" w:rsidRDefault="00CB3F47" w:rsidP="00CB3F47">
      <w:pPr>
        <w:pStyle w:val="h1-body"/>
      </w:pPr>
      <w:r w:rsidRPr="00FC27C2">
        <w:t xml:space="preserve"> </w:t>
      </w:r>
    </w:p>
    <w:p w14:paraId="5D3BC24C" w14:textId="1B81E29D" w:rsidR="00CB3F47" w:rsidRPr="00FC27C2" w:rsidRDefault="00CB3F47" w:rsidP="00CB3F47">
      <w:pPr>
        <w:pStyle w:val="Heading2"/>
      </w:pPr>
      <w:r w:rsidRPr="00FC27C2">
        <w:t>Types of SBL Mortgages (06/30/16)</w:t>
      </w:r>
    </w:p>
    <w:p w14:paraId="5899C502" w14:textId="16CB7088" w:rsidR="00CB3F47" w:rsidRPr="00FC27C2" w:rsidRDefault="00CB3F47" w:rsidP="00CB3F47">
      <w:pPr>
        <w:pStyle w:val="h2-body"/>
      </w:pPr>
      <w:r w:rsidRPr="00FC27C2">
        <w:t xml:space="preserve">Freddie Mac may purchase any or </w:t>
      </w:r>
      <w:proofErr w:type="gramStart"/>
      <w:r w:rsidRPr="00FC27C2">
        <w:t>all of</w:t>
      </w:r>
      <w:proofErr w:type="gramEnd"/>
      <w:r w:rsidRPr="00FC27C2">
        <w:t xml:space="preserve"> the following types of SBL Mortgages:</w:t>
      </w:r>
      <w:r>
        <w:br/>
      </w:r>
    </w:p>
    <w:p w14:paraId="1E27D10B" w14:textId="15A8C26A" w:rsidR="00CB3F47" w:rsidRPr="00FC27C2" w:rsidRDefault="00CB3F47" w:rsidP="00CB3F47">
      <w:pPr>
        <w:pStyle w:val="h2-body"/>
        <w:numPr>
          <w:ilvl w:val="0"/>
          <w:numId w:val="5"/>
        </w:numPr>
      </w:pPr>
      <w:r w:rsidRPr="00FC27C2">
        <w:t>Fixed-rate SBL Mortgages in which the interest rate is unchanged for the entire SBL Mortgage term.  (See Section 18SBL.2)</w:t>
      </w:r>
      <w:r>
        <w:br/>
      </w:r>
    </w:p>
    <w:p w14:paraId="788B5B60" w14:textId="22BAC283" w:rsidR="00CB3F47" w:rsidRPr="00FC27C2" w:rsidRDefault="00CB3F47" w:rsidP="00CB3F47">
      <w:pPr>
        <w:pStyle w:val="h2-body"/>
        <w:numPr>
          <w:ilvl w:val="0"/>
          <w:numId w:val="5"/>
        </w:numPr>
      </w:pPr>
      <w:r w:rsidRPr="00FC27C2">
        <w:t xml:space="preserve">Fixed to floating-rate “Hybrid ARM” SBL Mortgages in which the interest rate is fixed for an initial set term and is then adjusted periodically until the end of the term of the SBL Mortgage. (See Section 18SBL.2) </w:t>
      </w:r>
      <w:r>
        <w:br/>
      </w:r>
    </w:p>
    <w:p w14:paraId="153D5D8D" w14:textId="2FAC6925" w:rsidR="00CB3F47" w:rsidRPr="00FC27C2" w:rsidRDefault="00CB3F47" w:rsidP="00CB3F47">
      <w:pPr>
        <w:pStyle w:val="h2-body"/>
        <w:numPr>
          <w:ilvl w:val="0"/>
          <w:numId w:val="5"/>
        </w:numPr>
      </w:pPr>
      <w:r w:rsidRPr="00FC27C2">
        <w:t>Other types of SBL Mortgages as announced by Freddie Mac from time to time.</w:t>
      </w:r>
    </w:p>
    <w:p w14:paraId="6E3A9E72" w14:textId="77777777" w:rsidR="00CB3F47" w:rsidRPr="00FC27C2" w:rsidRDefault="00CB3F47" w:rsidP="00CB3F47">
      <w:pPr>
        <w:pStyle w:val="h1-body"/>
      </w:pPr>
      <w:r w:rsidRPr="00FC27C2">
        <w:t xml:space="preserve"> </w:t>
      </w:r>
    </w:p>
    <w:p w14:paraId="59DD6C68" w14:textId="71C4EF5B" w:rsidR="00CB3F47" w:rsidRPr="00FC27C2" w:rsidRDefault="00CB3F47" w:rsidP="00CB3F47">
      <w:pPr>
        <w:pStyle w:val="Heading2"/>
      </w:pPr>
      <w:r w:rsidRPr="00FC27C2">
        <w:t xml:space="preserve">Securitization of Mortgages and transfer of Servicing (06/30/16)  </w:t>
      </w:r>
    </w:p>
    <w:p w14:paraId="1E94A853" w14:textId="77777777" w:rsidR="00CB3F47" w:rsidRPr="00FC27C2" w:rsidRDefault="00CB3F47" w:rsidP="00CB3F47">
      <w:pPr>
        <w:pStyle w:val="h2-body"/>
      </w:pPr>
      <w:r w:rsidRPr="00FC27C2">
        <w:t xml:space="preserve">At the time of a securitization of an SBL Mortgage, as described in Chapter 46SBL, Freddie Mac will cease to own the applicable Mortgage and Servicing of the applicable SBL Mortgage will be terminated and transferred to a master servicer without compensation to the Seller/Servicer. Seller/Servicer must cooperate with all </w:t>
      </w:r>
      <w:r w:rsidRPr="00FC27C2">
        <w:lastRenderedPageBreak/>
        <w:t>transfers of Servicing and SBL Securitization provisions described in Chapter 46SBL.</w:t>
      </w:r>
    </w:p>
    <w:p w14:paraId="480A4A20" w14:textId="77777777" w:rsidR="00CB3F47" w:rsidRPr="00FC27C2" w:rsidRDefault="00CB3F47" w:rsidP="00CB3F47">
      <w:pPr>
        <w:pStyle w:val="h1-body"/>
      </w:pPr>
    </w:p>
    <w:p w14:paraId="4DCA7C86" w14:textId="2B1F791C" w:rsidR="00CB3F47" w:rsidRPr="00FC27C2" w:rsidRDefault="00CB3F47" w:rsidP="00CB3F47">
      <w:pPr>
        <w:pStyle w:val="Heading2"/>
      </w:pPr>
      <w:r w:rsidRPr="005C521A">
        <w:t>Delivery options</w:t>
      </w:r>
      <w:r w:rsidRPr="00FC27C2">
        <w:t xml:space="preserve"> (10/12/17)</w:t>
      </w:r>
    </w:p>
    <w:p w14:paraId="6C1804C8" w14:textId="77777777" w:rsidR="00CB3F47" w:rsidRPr="00FC27C2" w:rsidRDefault="00CB3F47" w:rsidP="00CB3F47">
      <w:pPr>
        <w:pStyle w:val="h2-body"/>
      </w:pPr>
      <w:r w:rsidRPr="00FC27C2">
        <w:t>For SBL Mortgages, Freddie Mac offers only the Standard delivery underwriting delivery option. The SBL Mortgage terms, conditions and interest rate are fixed after receipt and approval of the full underwriting package. For detailed information about standard delivery, see Sections 18SBL.3 through 18SBL.9.</w:t>
      </w:r>
    </w:p>
    <w:p w14:paraId="707C6045" w14:textId="77777777" w:rsidR="00CB3F47" w:rsidRPr="00FC27C2" w:rsidRDefault="00CB3F47" w:rsidP="00CB3F47">
      <w:pPr>
        <w:pStyle w:val="h1-body"/>
      </w:pPr>
    </w:p>
    <w:p w14:paraId="6E861B65" w14:textId="14F55F4D" w:rsidR="00CB3F47" w:rsidRPr="00FC27C2" w:rsidRDefault="00CB3F47" w:rsidP="00CB3F47">
      <w:pPr>
        <w:pStyle w:val="Heading2"/>
      </w:pPr>
      <w:r w:rsidRPr="00FC27C2">
        <w:t>Minimum Origination Fee (</w:t>
      </w:r>
      <w:r w:rsidR="00EF4CAC">
        <w:t>12/14/18</w:t>
      </w:r>
      <w:r w:rsidRPr="00FC27C2">
        <w:t>)</w:t>
      </w:r>
    </w:p>
    <w:p w14:paraId="6A944615" w14:textId="104029C5" w:rsidR="007739E8" w:rsidRDefault="007D6E20" w:rsidP="007D6E20">
      <w:pPr>
        <w:pStyle w:val="h2-body"/>
      </w:pPr>
      <w:r>
        <w:t xml:space="preserve">A Seller must charge a Minimum Origination Fee in connection with the origination and sale of an SBL Mortgage to Freddie Mac as specified in the </w:t>
      </w:r>
      <w:r>
        <w:rPr>
          <w:i/>
          <w:iCs/>
        </w:rPr>
        <w:t xml:space="preserve">Freddie Mac Multifamily Small Balance Loan Pricing Grid </w:t>
      </w:r>
      <w:r w:rsidR="001319BB">
        <w:rPr>
          <w:i/>
          <w:iCs/>
        </w:rPr>
        <w:t>Explanation</w:t>
      </w:r>
      <w:r>
        <w:t xml:space="preserve"> document published on FreddieMac.com</w:t>
      </w:r>
      <w:r w:rsidR="00761BA7">
        <w:t>.</w:t>
      </w:r>
      <w:r w:rsidR="007739E8">
        <w:t xml:space="preserve"> </w:t>
      </w:r>
    </w:p>
    <w:p w14:paraId="4A4B14B5" w14:textId="77777777" w:rsidR="007739E8" w:rsidRDefault="007739E8" w:rsidP="007D6E20">
      <w:pPr>
        <w:pStyle w:val="h2-body"/>
      </w:pPr>
    </w:p>
    <w:p w14:paraId="54591513" w14:textId="6BBBECBA" w:rsidR="007D6E20" w:rsidRDefault="007D6E20" w:rsidP="007D6E20">
      <w:pPr>
        <w:pStyle w:val="h2-body"/>
      </w:pPr>
      <w:r>
        <w:t>The Seller may satisfy the requirement for a Minimum Origination Fee with any combination of a premium buy-up and an origination fee.</w:t>
      </w:r>
    </w:p>
    <w:p w14:paraId="237589A4" w14:textId="4C2C2B52" w:rsidR="00EF4CAC" w:rsidRDefault="00EF4CAC" w:rsidP="007D6E20">
      <w:pPr>
        <w:pStyle w:val="h2-body"/>
      </w:pPr>
    </w:p>
    <w:p w14:paraId="5586BC1C" w14:textId="324A2F40" w:rsidR="00EF4CAC" w:rsidRDefault="00EF4CAC" w:rsidP="00A51EBB">
      <w:pPr>
        <w:pStyle w:val="h2-body"/>
      </w:pPr>
      <w:r>
        <w:t xml:space="preserve">The Minimum Origination </w:t>
      </w:r>
      <w:r w:rsidR="000A567A">
        <w:t xml:space="preserve">Fee </w:t>
      </w:r>
      <w:r>
        <w:t>must be collected by the Seller and may not be used to reimburse closing costs.</w:t>
      </w:r>
    </w:p>
    <w:p w14:paraId="581C5C3E" w14:textId="3D90100A" w:rsidR="00CB3F47" w:rsidRPr="00FC27C2" w:rsidRDefault="007D6E20" w:rsidP="00CB3F47">
      <w:pPr>
        <w:pStyle w:val="h1-body"/>
      </w:pPr>
      <w:r w:rsidRPr="00FC27C2" w:rsidDel="007D6E20">
        <w:t xml:space="preserve"> </w:t>
      </w:r>
    </w:p>
    <w:p w14:paraId="530B88F2" w14:textId="5445CD90" w:rsidR="00CB3F47" w:rsidRPr="00FC27C2" w:rsidRDefault="00CB3F47" w:rsidP="00CB3F47">
      <w:pPr>
        <w:pStyle w:val="Heading2"/>
      </w:pPr>
      <w:r w:rsidRPr="00FC27C2">
        <w:t>Final delivery requirements (09/01/16)</w:t>
      </w:r>
    </w:p>
    <w:p w14:paraId="7C917E42" w14:textId="77777777" w:rsidR="00CB3F47" w:rsidRPr="00FC27C2" w:rsidRDefault="00CB3F47" w:rsidP="00CB3F47">
      <w:pPr>
        <w:pStyle w:val="h2-body"/>
      </w:pPr>
      <w:r w:rsidRPr="00FC27C2">
        <w:t>Chapter 32 contains the requirements for final delivery of SBL Mortgages to Freddie Mac.</w:t>
      </w:r>
    </w:p>
    <w:p w14:paraId="74A59BB7" w14:textId="7EE8FE34" w:rsidR="008F2B1A" w:rsidRDefault="008F2B1A">
      <w:pPr>
        <w:ind w:left="0"/>
        <w:rPr>
          <w:rFonts w:ascii="Arial" w:hAnsi="Arial" w:cs="Arial"/>
        </w:rPr>
      </w:pPr>
      <w:r>
        <w:br w:type="page"/>
      </w:r>
    </w:p>
    <w:p w14:paraId="1053B17F" w14:textId="342A77E2" w:rsidR="00CB3F47" w:rsidRPr="005C521A" w:rsidRDefault="00CB3F47" w:rsidP="00CB3F47">
      <w:pPr>
        <w:pStyle w:val="Heading1"/>
      </w:pPr>
      <w:r w:rsidRPr="00FC27C2">
        <w:lastRenderedPageBreak/>
        <w:t>SBL Mortgage characteristics (</w:t>
      </w:r>
      <w:r w:rsidR="00001226">
        <w:t>02/28/18</w:t>
      </w:r>
      <w:r w:rsidRPr="00FC27C2">
        <w:t>)</w:t>
      </w:r>
    </w:p>
    <w:p w14:paraId="75CD0BE8" w14:textId="77777777" w:rsidR="00CB3F47" w:rsidRPr="00FC27C2" w:rsidRDefault="00CB3F47" w:rsidP="00CB3F47">
      <w:pPr>
        <w:pStyle w:val="h1-body"/>
      </w:pPr>
      <w:r w:rsidRPr="00FC27C2">
        <w:t>Each SBL Mortgage must have the following characteristics:</w:t>
      </w:r>
    </w:p>
    <w:p w14:paraId="564EBB04" w14:textId="77777777" w:rsidR="00CB3F47" w:rsidRPr="00FC27C2" w:rsidRDefault="00CB3F47" w:rsidP="00CB3F47">
      <w:pPr>
        <w:pStyle w:val="h1-body"/>
      </w:pPr>
    </w:p>
    <w:tbl>
      <w:tblPr>
        <w:tblStyle w:val="TableGrid"/>
        <w:tblW w:w="9090" w:type="dxa"/>
        <w:tblInd w:w="265" w:type="dxa"/>
        <w:tblLook w:val="04A0" w:firstRow="1" w:lastRow="0" w:firstColumn="1" w:lastColumn="0" w:noHBand="0" w:noVBand="1"/>
      </w:tblPr>
      <w:tblGrid>
        <w:gridCol w:w="2340"/>
        <w:gridCol w:w="6750"/>
      </w:tblGrid>
      <w:tr w:rsidR="00CB3F47" w:rsidRPr="00FC27C2" w14:paraId="2E625AA5" w14:textId="77777777" w:rsidTr="00CB3F47">
        <w:tc>
          <w:tcPr>
            <w:tcW w:w="2340" w:type="dxa"/>
          </w:tcPr>
          <w:p w14:paraId="25696C7C" w14:textId="77777777" w:rsidR="00CB3F47" w:rsidRPr="00CB3F47" w:rsidRDefault="00CB3F47" w:rsidP="00CB3F47">
            <w:pPr>
              <w:pStyle w:val="h1-body"/>
              <w:ind w:left="0"/>
              <w:rPr>
                <w:b/>
              </w:rPr>
            </w:pPr>
            <w:r w:rsidRPr="00CB3F47">
              <w:rPr>
                <w:b/>
              </w:rPr>
              <w:t>Loan Purpose</w:t>
            </w:r>
          </w:p>
        </w:tc>
        <w:tc>
          <w:tcPr>
            <w:tcW w:w="6750" w:type="dxa"/>
          </w:tcPr>
          <w:p w14:paraId="58739754" w14:textId="77777777" w:rsidR="00CB3F47" w:rsidRPr="00FC27C2" w:rsidRDefault="00CB3F47" w:rsidP="00CB3F47">
            <w:pPr>
              <w:pStyle w:val="h1-body"/>
              <w:ind w:left="0"/>
            </w:pPr>
            <w:r w:rsidRPr="005C521A">
              <w:t>Acquisition or refinance</w:t>
            </w:r>
          </w:p>
          <w:p w14:paraId="658159E4" w14:textId="77777777" w:rsidR="00CB3F47" w:rsidRPr="00FC27C2" w:rsidRDefault="00CB3F47" w:rsidP="00CB3F47">
            <w:pPr>
              <w:pStyle w:val="h1-body"/>
              <w:ind w:left="0"/>
            </w:pPr>
          </w:p>
        </w:tc>
      </w:tr>
      <w:tr w:rsidR="00CB3F47" w:rsidRPr="00FC27C2" w14:paraId="12ADF21A" w14:textId="77777777" w:rsidTr="00CB3F47">
        <w:tc>
          <w:tcPr>
            <w:tcW w:w="2340" w:type="dxa"/>
          </w:tcPr>
          <w:p w14:paraId="0E3C251D" w14:textId="77777777" w:rsidR="00CB3F47" w:rsidRPr="00CB3F47" w:rsidRDefault="00CB3F47" w:rsidP="00CB3F47">
            <w:pPr>
              <w:pStyle w:val="h1-body"/>
              <w:ind w:left="0"/>
              <w:rPr>
                <w:b/>
              </w:rPr>
            </w:pPr>
            <w:r w:rsidRPr="00CB3F47">
              <w:rPr>
                <w:b/>
              </w:rPr>
              <w:t>Loan Terms</w:t>
            </w:r>
          </w:p>
        </w:tc>
        <w:tc>
          <w:tcPr>
            <w:tcW w:w="6750" w:type="dxa"/>
          </w:tcPr>
          <w:p w14:paraId="346893B7" w14:textId="197CF435" w:rsidR="00CB3F47" w:rsidRPr="00FC27C2" w:rsidRDefault="00CB3F47" w:rsidP="00CB3F47">
            <w:pPr>
              <w:pStyle w:val="h1-body"/>
              <w:numPr>
                <w:ilvl w:val="0"/>
                <w:numId w:val="6"/>
              </w:numPr>
            </w:pPr>
            <w:r w:rsidRPr="005C521A">
              <w:t>5, 7, or 10 years for Fixed Rate SBL Mortgages</w:t>
            </w:r>
            <w:r>
              <w:br/>
            </w:r>
          </w:p>
          <w:p w14:paraId="2AF7A694" w14:textId="77777777" w:rsidR="00CB3F47" w:rsidRPr="00FC27C2" w:rsidRDefault="00CB3F47" w:rsidP="00CB3F47">
            <w:pPr>
              <w:pStyle w:val="h1-body"/>
              <w:numPr>
                <w:ilvl w:val="0"/>
                <w:numId w:val="6"/>
              </w:numPr>
            </w:pPr>
            <w:r w:rsidRPr="00FC27C2">
              <w:t>20 years with initial fixed-rate period of 5, 7, or 10 years, followed by an adjustable rate period through maturity for Hybrid ARM SBL Mortgages</w:t>
            </w:r>
          </w:p>
          <w:p w14:paraId="79BE4019" w14:textId="77777777" w:rsidR="00CB3F47" w:rsidRPr="00FC27C2" w:rsidRDefault="00CB3F47" w:rsidP="00CB3F47">
            <w:pPr>
              <w:pStyle w:val="h1-body"/>
              <w:ind w:left="0"/>
            </w:pPr>
          </w:p>
        </w:tc>
      </w:tr>
      <w:tr w:rsidR="00CB3F47" w:rsidRPr="00FC27C2" w14:paraId="3C70578E" w14:textId="77777777" w:rsidTr="00CB3F47">
        <w:tc>
          <w:tcPr>
            <w:tcW w:w="2340" w:type="dxa"/>
          </w:tcPr>
          <w:p w14:paraId="362D7C07" w14:textId="77777777" w:rsidR="00CB3F47" w:rsidRPr="00CB3F47" w:rsidRDefault="00CB3F47" w:rsidP="00CB3F47">
            <w:pPr>
              <w:pStyle w:val="h1-body"/>
              <w:ind w:left="0"/>
              <w:rPr>
                <w:b/>
              </w:rPr>
            </w:pPr>
            <w:r w:rsidRPr="00CB3F47">
              <w:rPr>
                <w:b/>
              </w:rPr>
              <w:t>Amortization</w:t>
            </w:r>
          </w:p>
        </w:tc>
        <w:tc>
          <w:tcPr>
            <w:tcW w:w="6750" w:type="dxa"/>
          </w:tcPr>
          <w:p w14:paraId="09FBF54F" w14:textId="77777777" w:rsidR="00CB3F47" w:rsidRPr="00FC27C2" w:rsidRDefault="00CB3F47" w:rsidP="00CB3F47">
            <w:pPr>
              <w:pStyle w:val="h1-body"/>
              <w:ind w:left="0"/>
            </w:pPr>
            <w:r w:rsidRPr="005C521A">
              <w:t xml:space="preserve">For amortizing SBL Mortgages, the </w:t>
            </w:r>
            <w:r w:rsidRPr="00FC27C2">
              <w:t>maximum amortization period is 30 years.  Any interest-only period will be followed by an amortization period of no more than 30 years.</w:t>
            </w:r>
          </w:p>
          <w:p w14:paraId="21FE863B" w14:textId="77777777" w:rsidR="00CB3F47" w:rsidRPr="00FC27C2" w:rsidRDefault="00CB3F47" w:rsidP="00CB3F47">
            <w:pPr>
              <w:pStyle w:val="h1-body"/>
              <w:ind w:left="0"/>
            </w:pPr>
          </w:p>
        </w:tc>
      </w:tr>
      <w:tr w:rsidR="00CB3F47" w:rsidRPr="00FC27C2" w14:paraId="1F7099D8" w14:textId="77777777" w:rsidTr="00CB3F47">
        <w:tc>
          <w:tcPr>
            <w:tcW w:w="2340" w:type="dxa"/>
          </w:tcPr>
          <w:p w14:paraId="3CDBBF6C" w14:textId="77777777" w:rsidR="00CB3F47" w:rsidRPr="00CB3F47" w:rsidRDefault="00CB3F47" w:rsidP="00CB3F47">
            <w:pPr>
              <w:pStyle w:val="h1-body"/>
              <w:ind w:left="0"/>
              <w:rPr>
                <w:b/>
              </w:rPr>
            </w:pPr>
            <w:r w:rsidRPr="00CB3F47">
              <w:rPr>
                <w:b/>
              </w:rPr>
              <w:t xml:space="preserve">Interest Only </w:t>
            </w:r>
          </w:p>
        </w:tc>
        <w:tc>
          <w:tcPr>
            <w:tcW w:w="6750" w:type="dxa"/>
          </w:tcPr>
          <w:p w14:paraId="554B6E18" w14:textId="77777777" w:rsidR="00CB3F47" w:rsidRPr="00FC27C2" w:rsidRDefault="00CB3F47" w:rsidP="00CB3F47">
            <w:pPr>
              <w:pStyle w:val="h1-body"/>
              <w:ind w:left="0"/>
            </w:pPr>
            <w:r w:rsidRPr="005C521A">
              <w:t xml:space="preserve">Partial-term and full-term interest-only debt service payments are available </w:t>
            </w:r>
            <w:r w:rsidRPr="00FC27C2">
              <w:t>for Fixed Rate SBL Mortgages. Partial interest-only payment terms are available during the fixed rate period of the Hybrid ARM SBL Mortgage.</w:t>
            </w:r>
          </w:p>
          <w:p w14:paraId="49CB8315" w14:textId="77777777" w:rsidR="00CB3F47" w:rsidRPr="00FC27C2" w:rsidRDefault="00CB3F47" w:rsidP="00CB3F47">
            <w:pPr>
              <w:pStyle w:val="h1-body"/>
              <w:ind w:left="0"/>
            </w:pPr>
          </w:p>
        </w:tc>
      </w:tr>
      <w:tr w:rsidR="00CB3F47" w:rsidRPr="00FC27C2" w14:paraId="0D0F4A46" w14:textId="77777777" w:rsidTr="00CB3F47">
        <w:tc>
          <w:tcPr>
            <w:tcW w:w="2340" w:type="dxa"/>
          </w:tcPr>
          <w:p w14:paraId="3DCAA572" w14:textId="77777777" w:rsidR="00CB3F47" w:rsidRPr="00CB3F47" w:rsidRDefault="00CB3F47" w:rsidP="00CB3F47">
            <w:pPr>
              <w:pStyle w:val="h1-body"/>
              <w:ind w:left="0"/>
              <w:rPr>
                <w:b/>
              </w:rPr>
            </w:pPr>
            <w:r w:rsidRPr="00CB3F47">
              <w:rPr>
                <w:b/>
              </w:rPr>
              <w:t>Interest Rate calculation – Hybrid ARM SBL Mortgages</w:t>
            </w:r>
          </w:p>
        </w:tc>
        <w:tc>
          <w:tcPr>
            <w:tcW w:w="6750" w:type="dxa"/>
          </w:tcPr>
          <w:p w14:paraId="2239E62D" w14:textId="77777777" w:rsidR="00CB3F47" w:rsidRPr="00FC27C2" w:rsidRDefault="00CB3F47" w:rsidP="00CB3F47">
            <w:pPr>
              <w:pStyle w:val="h1-body"/>
              <w:ind w:left="0"/>
            </w:pPr>
            <w:r w:rsidRPr="005C521A">
              <w:t>Hybrid ARM SBL Mortgages will have initial fixed rate periods of 5, 7, or 10 years followed b</w:t>
            </w:r>
            <w:r w:rsidRPr="00FC27C2">
              <w:t xml:space="preserve">y an adjustable rate period through the maturity of the Hybrid ARM SBL Mortgage.  During the adjustable rate period, the interest rate and amortization period may be adjusted every six months based on the index and margin specified in the Note Hybrid ARM - SBL.  The adjustable interest rate will never be less than the initial fixed rate, will not increase or decrease more than one percent at any one adjustment period, and will be capped at the initial fixed interest rate plus five percent, unless otherwise specified in the Note Hybrid ARM - SBL. Amortization will be based on an actual/360 interest schedule. </w:t>
            </w:r>
          </w:p>
          <w:p w14:paraId="22400512" w14:textId="77777777" w:rsidR="00CB3F47" w:rsidRPr="00FC27C2" w:rsidRDefault="00CB3F47" w:rsidP="00CB3F47">
            <w:pPr>
              <w:pStyle w:val="h1-body"/>
              <w:ind w:left="0"/>
            </w:pPr>
          </w:p>
        </w:tc>
      </w:tr>
      <w:tr w:rsidR="00CB3F47" w:rsidRPr="00FC27C2" w14:paraId="52DB0ACB" w14:textId="77777777" w:rsidTr="00CB3F47">
        <w:tc>
          <w:tcPr>
            <w:tcW w:w="2340" w:type="dxa"/>
          </w:tcPr>
          <w:p w14:paraId="1EA124E4" w14:textId="77777777" w:rsidR="00CB3F47" w:rsidRPr="00CB3F47" w:rsidRDefault="00CB3F47" w:rsidP="00CB3F47">
            <w:pPr>
              <w:pStyle w:val="h1-body"/>
              <w:ind w:left="0"/>
              <w:rPr>
                <w:b/>
              </w:rPr>
            </w:pPr>
            <w:r w:rsidRPr="00CB3F47">
              <w:rPr>
                <w:b/>
              </w:rPr>
              <w:t>Prepayments</w:t>
            </w:r>
          </w:p>
        </w:tc>
        <w:tc>
          <w:tcPr>
            <w:tcW w:w="6750" w:type="dxa"/>
          </w:tcPr>
          <w:p w14:paraId="271100EB" w14:textId="77777777" w:rsidR="00CB3F47" w:rsidRPr="00FC27C2" w:rsidRDefault="00CB3F47" w:rsidP="00CB3F47">
            <w:pPr>
              <w:pStyle w:val="h1-body"/>
              <w:ind w:left="0"/>
            </w:pPr>
            <w:r w:rsidRPr="005C521A">
              <w:t>As specified in the Note Fixed Rate – SBL and the Note Hybrid ARM-SBL available on Freddie</w:t>
            </w:r>
            <w:r w:rsidRPr="00FC27C2">
              <w:t>Mac.com</w:t>
            </w:r>
          </w:p>
          <w:p w14:paraId="525CF2CA" w14:textId="77777777" w:rsidR="00CB3F47" w:rsidRPr="00FC27C2" w:rsidRDefault="00CB3F47" w:rsidP="00CB3F47">
            <w:pPr>
              <w:pStyle w:val="h1-body"/>
              <w:ind w:left="0"/>
            </w:pPr>
          </w:p>
        </w:tc>
      </w:tr>
      <w:tr w:rsidR="00CB3F47" w:rsidRPr="00FC27C2" w14:paraId="0CAE6FFC" w14:textId="77777777" w:rsidTr="00CB3F47">
        <w:tc>
          <w:tcPr>
            <w:tcW w:w="2340" w:type="dxa"/>
          </w:tcPr>
          <w:p w14:paraId="3839FEAA" w14:textId="77777777" w:rsidR="00CB3F47" w:rsidRPr="00CB3F47" w:rsidRDefault="00CB3F47" w:rsidP="00CB3F47">
            <w:pPr>
              <w:pStyle w:val="h1-body"/>
              <w:ind w:left="0"/>
              <w:rPr>
                <w:b/>
              </w:rPr>
            </w:pPr>
            <w:r w:rsidRPr="00CB3F47">
              <w:rPr>
                <w:b/>
              </w:rPr>
              <w:t>Sales or Transfers of Property or beneficial interest in Borrower</w:t>
            </w:r>
          </w:p>
        </w:tc>
        <w:tc>
          <w:tcPr>
            <w:tcW w:w="6750" w:type="dxa"/>
          </w:tcPr>
          <w:p w14:paraId="23EB8F55" w14:textId="77777777" w:rsidR="00CB3F47" w:rsidRPr="00FC27C2" w:rsidRDefault="00CB3F47" w:rsidP="00CB3F47">
            <w:pPr>
              <w:pStyle w:val="h1-body"/>
              <w:ind w:left="0"/>
            </w:pPr>
            <w:r w:rsidRPr="005C521A">
              <w:t xml:space="preserve">Transfer of Ownership to a qualified purchaser is permitted on terms approved by Freddie Mac, in accordance with the terms of the SBL </w:t>
            </w:r>
            <w:r w:rsidRPr="00FC27C2">
              <w:t>Loan Documents and the Guide.</w:t>
            </w:r>
          </w:p>
          <w:p w14:paraId="1EE685F9" w14:textId="77777777" w:rsidR="00CB3F47" w:rsidRPr="00FC27C2" w:rsidRDefault="00CB3F47" w:rsidP="00CB3F47">
            <w:pPr>
              <w:pStyle w:val="h1-body"/>
              <w:ind w:left="0"/>
            </w:pPr>
          </w:p>
        </w:tc>
      </w:tr>
      <w:tr w:rsidR="00CB3F47" w:rsidRPr="00FC27C2" w14:paraId="22C6737E" w14:textId="77777777" w:rsidTr="00CB3F47">
        <w:tc>
          <w:tcPr>
            <w:tcW w:w="2340" w:type="dxa"/>
          </w:tcPr>
          <w:p w14:paraId="1B0AD7D0" w14:textId="77777777" w:rsidR="00CB3F47" w:rsidRPr="00CB3F47" w:rsidRDefault="00CB3F47" w:rsidP="00CB3F47">
            <w:pPr>
              <w:pStyle w:val="h1-body"/>
              <w:ind w:left="0"/>
              <w:rPr>
                <w:b/>
              </w:rPr>
            </w:pPr>
            <w:r w:rsidRPr="00CB3F47">
              <w:rPr>
                <w:b/>
              </w:rPr>
              <w:t>Borrower Recourse/Third-Party Guaranties</w:t>
            </w:r>
          </w:p>
        </w:tc>
        <w:tc>
          <w:tcPr>
            <w:tcW w:w="6750" w:type="dxa"/>
          </w:tcPr>
          <w:p w14:paraId="0A06020F" w14:textId="77777777" w:rsidR="00CB3F47" w:rsidRPr="00FC27C2" w:rsidRDefault="00CB3F47" w:rsidP="00CB3F47">
            <w:pPr>
              <w:pStyle w:val="h1-body"/>
              <w:ind w:left="0"/>
            </w:pPr>
            <w:r w:rsidRPr="005C521A">
              <w:t>Generally non-recourse, except upon the occurrence of certain events specified in the SBL Loan Documents</w:t>
            </w:r>
            <w:r w:rsidRPr="00FC27C2">
              <w:t>; however, Freddie Mac, in its discretion, may require additional Borrower recourse.</w:t>
            </w:r>
          </w:p>
          <w:p w14:paraId="2389B578" w14:textId="77777777" w:rsidR="00CB3F47" w:rsidRPr="00FC27C2" w:rsidRDefault="00CB3F47" w:rsidP="00CB3F47">
            <w:pPr>
              <w:pStyle w:val="h1-body"/>
              <w:ind w:left="0"/>
            </w:pPr>
          </w:p>
          <w:p w14:paraId="75038306" w14:textId="336CE8FB" w:rsidR="00CB3F47" w:rsidRPr="00FC27C2" w:rsidRDefault="00CB3F47" w:rsidP="00CB3F47">
            <w:pPr>
              <w:pStyle w:val="h1-body"/>
              <w:ind w:left="0"/>
            </w:pPr>
            <w:r w:rsidRPr="00FC27C2">
              <w:t>See Section 10.2(b) in the event Freddie Mac requires one or more of the Borrower Principals, in the Borrower Principal’s individual capacity, to guaranty the payment of all or a portion of the amounts due under the SBL Mortgage.</w:t>
            </w:r>
            <w:r>
              <w:br/>
            </w:r>
          </w:p>
        </w:tc>
      </w:tr>
      <w:tr w:rsidR="00CB3F47" w:rsidRPr="00FC27C2" w14:paraId="40B54DA4" w14:textId="77777777" w:rsidTr="00CB3F47">
        <w:tc>
          <w:tcPr>
            <w:tcW w:w="2340" w:type="dxa"/>
          </w:tcPr>
          <w:p w14:paraId="32497B6C" w14:textId="77777777" w:rsidR="00CB3F47" w:rsidRPr="00CB3F47" w:rsidRDefault="00CB3F47" w:rsidP="00CB3F47">
            <w:pPr>
              <w:pStyle w:val="h1-body"/>
              <w:ind w:left="0"/>
              <w:rPr>
                <w:b/>
              </w:rPr>
            </w:pPr>
            <w:r w:rsidRPr="00CB3F47">
              <w:rPr>
                <w:b/>
              </w:rPr>
              <w:lastRenderedPageBreak/>
              <w:t>Servicing Spread</w:t>
            </w:r>
          </w:p>
        </w:tc>
        <w:tc>
          <w:tcPr>
            <w:tcW w:w="6750" w:type="dxa"/>
          </w:tcPr>
          <w:p w14:paraId="48109F1F" w14:textId="526CCFCE" w:rsidR="00CB3F47" w:rsidRPr="00FC27C2" w:rsidRDefault="00CB3F47" w:rsidP="00CB3F47">
            <w:pPr>
              <w:pStyle w:val="h1-body"/>
              <w:ind w:left="0"/>
            </w:pPr>
            <w:r w:rsidRPr="005C521A">
              <w:t xml:space="preserve">The Servicing Spread for each SBL Mortgage </w:t>
            </w:r>
            <w:r w:rsidRPr="00FC27C2">
              <w:t>will be as stated in the Letter of Commitment for that SBL Mortgage.</w:t>
            </w:r>
            <w:r>
              <w:br/>
            </w:r>
          </w:p>
        </w:tc>
      </w:tr>
      <w:tr w:rsidR="00CB3F47" w:rsidRPr="00FC27C2" w14:paraId="76A2A5C5" w14:textId="77777777" w:rsidTr="00CB3F47">
        <w:tc>
          <w:tcPr>
            <w:tcW w:w="2340" w:type="dxa"/>
          </w:tcPr>
          <w:p w14:paraId="06705D34" w14:textId="77777777" w:rsidR="00CB3F47" w:rsidRPr="00CB3F47" w:rsidRDefault="00CB3F47" w:rsidP="00CB3F47">
            <w:pPr>
              <w:pStyle w:val="h1-body"/>
              <w:ind w:left="0"/>
              <w:rPr>
                <w:b/>
              </w:rPr>
            </w:pPr>
            <w:r w:rsidRPr="00CB3F47">
              <w:rPr>
                <w:b/>
              </w:rPr>
              <w:t>Reserves</w:t>
            </w:r>
          </w:p>
        </w:tc>
        <w:tc>
          <w:tcPr>
            <w:tcW w:w="6750" w:type="dxa"/>
          </w:tcPr>
          <w:p w14:paraId="1FB45874" w14:textId="302636A3" w:rsidR="00CB3F47" w:rsidRPr="00FC27C2" w:rsidRDefault="00CB3F47" w:rsidP="00CB3F47">
            <w:pPr>
              <w:pStyle w:val="h1-body"/>
              <w:ind w:left="0"/>
            </w:pPr>
            <w:r w:rsidRPr="005C521A">
              <w:t>The Seller/Servicer</w:t>
            </w:r>
            <w:r w:rsidRPr="00FC27C2">
              <w:t xml:space="preserve"> must establish Reserves pursuant to the requirements of Sections 39.2 and 39.3 with the following exceptions specific to SBL Mortgages:</w:t>
            </w:r>
            <w:r>
              <w:br/>
            </w:r>
          </w:p>
          <w:p w14:paraId="64B21555" w14:textId="5C45DC63" w:rsidR="00CB3F47" w:rsidRPr="00FC27C2" w:rsidRDefault="00CB3F47" w:rsidP="00CB3F47">
            <w:pPr>
              <w:pStyle w:val="h1-body"/>
              <w:numPr>
                <w:ilvl w:val="0"/>
                <w:numId w:val="7"/>
              </w:numPr>
            </w:pPr>
            <w:r w:rsidRPr="00FC27C2">
              <w:t xml:space="preserve">Reserves for real estate taxes may be deferred provided original LTV is 65 percent or less. </w:t>
            </w:r>
            <w:r>
              <w:br/>
            </w:r>
          </w:p>
          <w:p w14:paraId="1EE94AC1" w14:textId="3B20B802" w:rsidR="00CB3F47" w:rsidRPr="00FC27C2" w:rsidRDefault="00CB3F47" w:rsidP="00CB3F47">
            <w:pPr>
              <w:pStyle w:val="h1-body"/>
              <w:numPr>
                <w:ilvl w:val="0"/>
                <w:numId w:val="7"/>
              </w:numPr>
            </w:pPr>
            <w:r w:rsidRPr="00FC27C2">
              <w:t xml:space="preserve">Reserves for insurance may be deferred. </w:t>
            </w:r>
            <w:r>
              <w:br/>
            </w:r>
          </w:p>
          <w:p w14:paraId="76E57EAA" w14:textId="3DB16262" w:rsidR="00CB3F47" w:rsidRPr="00FC27C2" w:rsidRDefault="00CB3F47" w:rsidP="00CB3F47">
            <w:pPr>
              <w:pStyle w:val="h1-body"/>
              <w:numPr>
                <w:ilvl w:val="0"/>
                <w:numId w:val="7"/>
              </w:numPr>
            </w:pPr>
            <w:r w:rsidRPr="00FC27C2">
              <w:t>Monthly Replacement Reserve deposits may be deferred</w:t>
            </w:r>
            <w:r w:rsidR="00E527CE">
              <w:t xml:space="preserve"> at the discretion of Freddie Mac based on information from either the SBL Physical Risk Report or the Property site inspection.</w:t>
            </w:r>
          </w:p>
          <w:p w14:paraId="5D393492" w14:textId="77777777" w:rsidR="00CB3F47" w:rsidRPr="00FC27C2" w:rsidRDefault="00CB3F47" w:rsidP="00CB3F47">
            <w:pPr>
              <w:pStyle w:val="h1-body"/>
              <w:ind w:left="0"/>
            </w:pPr>
          </w:p>
        </w:tc>
      </w:tr>
      <w:tr w:rsidR="00CB3F47" w:rsidRPr="00FC27C2" w14:paraId="625FB064" w14:textId="77777777" w:rsidTr="00CB3F47">
        <w:trPr>
          <w:trHeight w:val="728"/>
        </w:trPr>
        <w:tc>
          <w:tcPr>
            <w:tcW w:w="2340" w:type="dxa"/>
          </w:tcPr>
          <w:p w14:paraId="58BE6383" w14:textId="77777777" w:rsidR="00CB3F47" w:rsidRPr="00CB3F47" w:rsidRDefault="00CB3F47" w:rsidP="00CB3F47">
            <w:pPr>
              <w:pStyle w:val="h1-body"/>
              <w:ind w:left="0"/>
              <w:rPr>
                <w:b/>
              </w:rPr>
            </w:pPr>
            <w:r w:rsidRPr="00CB3F47">
              <w:rPr>
                <w:b/>
              </w:rPr>
              <w:t>Financing of Origination Fees</w:t>
            </w:r>
          </w:p>
        </w:tc>
        <w:tc>
          <w:tcPr>
            <w:tcW w:w="6750" w:type="dxa"/>
          </w:tcPr>
          <w:p w14:paraId="1AFC76A1" w14:textId="7D0F6399" w:rsidR="00CB3F47" w:rsidRPr="00FC27C2" w:rsidRDefault="00CB3F47" w:rsidP="00CB3F47">
            <w:pPr>
              <w:pStyle w:val="h1-body"/>
              <w:ind w:left="0"/>
            </w:pPr>
            <w:r w:rsidRPr="005C521A">
              <w:t>P</w:t>
            </w:r>
            <w:r w:rsidRPr="00FC27C2">
              <w:t>roceeds of the SBL Mortgage may be used to pay loan origination fees or comparable fees to the Seller/Servicer only to the extent that such fees are reasonable and in accordance with general industry standards.</w:t>
            </w:r>
            <w:r>
              <w:br/>
            </w:r>
          </w:p>
        </w:tc>
      </w:tr>
      <w:tr w:rsidR="00CB3F47" w:rsidRPr="00FC27C2" w14:paraId="483D4F9A" w14:textId="77777777" w:rsidTr="00CB3F47">
        <w:tc>
          <w:tcPr>
            <w:tcW w:w="2340" w:type="dxa"/>
          </w:tcPr>
          <w:p w14:paraId="0BFEC51F" w14:textId="77777777" w:rsidR="00CB3F47" w:rsidRPr="00CB3F47" w:rsidRDefault="00CB3F47" w:rsidP="00CB3F47">
            <w:pPr>
              <w:pStyle w:val="h1-body"/>
              <w:ind w:left="0"/>
              <w:rPr>
                <w:b/>
              </w:rPr>
            </w:pPr>
            <w:r w:rsidRPr="00CB3F47">
              <w:rPr>
                <w:b/>
              </w:rPr>
              <w:t>Late Charges/Default Interest</w:t>
            </w:r>
          </w:p>
        </w:tc>
        <w:tc>
          <w:tcPr>
            <w:tcW w:w="6750" w:type="dxa"/>
          </w:tcPr>
          <w:p w14:paraId="47DCF31A" w14:textId="77777777" w:rsidR="00CB3F47" w:rsidRPr="00FC27C2" w:rsidRDefault="00CB3F47" w:rsidP="00CB3F47">
            <w:pPr>
              <w:pStyle w:val="h1-body"/>
              <w:ind w:left="0"/>
            </w:pPr>
            <w:r w:rsidRPr="005C521A">
              <w:t xml:space="preserve">Requirements regarding late charges and default interest are set forth in the SBL Loan Documents. The </w:t>
            </w:r>
            <w:r w:rsidRPr="00FC27C2">
              <w:t>Seller/Servicer may not change any provisions regarding late charges or default interest without Freddie Mac's prior approval. Freddie Mac reserves the right to waive any late charge, in its discretion.</w:t>
            </w:r>
          </w:p>
          <w:p w14:paraId="0267192C" w14:textId="77777777" w:rsidR="00CB3F47" w:rsidRPr="00FC27C2" w:rsidRDefault="00CB3F47" w:rsidP="00CB3F47">
            <w:pPr>
              <w:pStyle w:val="h1-body"/>
              <w:ind w:left="0"/>
            </w:pPr>
          </w:p>
        </w:tc>
      </w:tr>
    </w:tbl>
    <w:p w14:paraId="73239DA3" w14:textId="77777777" w:rsidR="00CB3F47" w:rsidRPr="005C521A" w:rsidRDefault="00CB3F47" w:rsidP="00CB3F47">
      <w:pPr>
        <w:pStyle w:val="h1-body"/>
      </w:pPr>
    </w:p>
    <w:p w14:paraId="38636D20" w14:textId="7432A22C" w:rsidR="00CB3F47" w:rsidRPr="00FC27C2" w:rsidRDefault="00CB3F47" w:rsidP="00CB3F47">
      <w:pPr>
        <w:pStyle w:val="Heading1"/>
      </w:pPr>
      <w:r w:rsidRPr="00FC27C2">
        <w:t>Standard delivery—overview (06/30/16)</w:t>
      </w:r>
    </w:p>
    <w:p w14:paraId="595E48A7" w14:textId="77777777" w:rsidR="00CB3F47" w:rsidRPr="00FC27C2" w:rsidRDefault="00CB3F47" w:rsidP="00CB3F47">
      <w:pPr>
        <w:pStyle w:val="h1-body"/>
      </w:pPr>
      <w:r w:rsidRPr="00FC27C2">
        <w:t>Freddie Mac will regularly publish a Pricing Grid indicating coupon rates applicable to Fixed-rate and Hybrid ARM SBL Mortgages.</w:t>
      </w:r>
    </w:p>
    <w:p w14:paraId="11161B51" w14:textId="77777777" w:rsidR="00CB3F47" w:rsidRPr="00FC27C2" w:rsidRDefault="00CB3F47" w:rsidP="00CB3F47">
      <w:pPr>
        <w:pStyle w:val="h1-body"/>
      </w:pPr>
    </w:p>
    <w:p w14:paraId="1822B471" w14:textId="77777777" w:rsidR="00CB3F47" w:rsidRPr="00FC27C2" w:rsidRDefault="00CB3F47" w:rsidP="00CB3F47">
      <w:pPr>
        <w:pStyle w:val="h1-body"/>
      </w:pPr>
      <w:r w:rsidRPr="00FC27C2">
        <w:t>Provided the SBL Mortgage presented in the full underwriting package meets the requirements of the SBL Purchase Product and has been approved by the Small Balance Loan Team</w:t>
      </w:r>
      <w:r w:rsidRPr="005C521A">
        <w:t>,</w:t>
      </w:r>
      <w:r w:rsidRPr="00FC27C2">
        <w:t xml:space="preserve"> as evidenced by issuance from Freddie Mac of the Letter of Commitment, Seller/Servicers may rate lock the SBL Mortgage with Freddie Mac at the applicable published Coupon Rate included in the SBL Letter of Commitment.</w:t>
      </w:r>
    </w:p>
    <w:p w14:paraId="06710781" w14:textId="77777777" w:rsidR="00CB3F47" w:rsidRPr="00FC27C2" w:rsidRDefault="00CB3F47" w:rsidP="00CB3F47">
      <w:pPr>
        <w:pStyle w:val="h1-body"/>
      </w:pPr>
    </w:p>
    <w:p w14:paraId="39399909" w14:textId="55846CA4" w:rsidR="00CB3F47" w:rsidRPr="00FC27C2" w:rsidRDefault="00CB3F47" w:rsidP="00CB3F47">
      <w:pPr>
        <w:pStyle w:val="Heading1"/>
      </w:pPr>
      <w:r w:rsidRPr="00FC27C2">
        <w:t>Standard delivery—underwriting package (06/29/17)</w:t>
      </w:r>
    </w:p>
    <w:p w14:paraId="71B0B872" w14:textId="77777777" w:rsidR="00CB3F47" w:rsidRPr="00FC27C2" w:rsidRDefault="00CB3F47" w:rsidP="00CB3F47">
      <w:pPr>
        <w:pStyle w:val="h1-body"/>
      </w:pPr>
      <w:r w:rsidRPr="00FC27C2">
        <w:t xml:space="preserve">To begin the standard delivery process, Seller/Servicers must submit to Freddie Mac, via Freddie Mac’s Document Management System (DMS), a full underwriting package including all documents specified in the SBL Underwriting Checklist, Section 1.2 of Exhibit 1. See Chapter 55SBL, SBL Documentation and Deliveries, for instructions on preparing and delivering </w:t>
      </w:r>
      <w:r w:rsidRPr="00FC27C2">
        <w:lastRenderedPageBreak/>
        <w:t>the underwriting package and remitting any required fees to Freddie Mac as well as descriptions of Freddie Mac’s requirements for each document in the underwriting package.</w:t>
      </w:r>
    </w:p>
    <w:p w14:paraId="23A0E6E0" w14:textId="77777777" w:rsidR="00CB3F47" w:rsidRPr="00FC27C2" w:rsidRDefault="00CB3F47" w:rsidP="00CB3F47">
      <w:pPr>
        <w:pStyle w:val="h1-body"/>
      </w:pPr>
    </w:p>
    <w:p w14:paraId="6EC5E3C8" w14:textId="77777777" w:rsidR="00CB3F47" w:rsidRPr="00FC27C2" w:rsidRDefault="00CB3F47" w:rsidP="00CB3F47">
      <w:pPr>
        <w:pStyle w:val="h1-body"/>
      </w:pPr>
      <w:r w:rsidRPr="00FC27C2">
        <w:t>If the proposed SBL Mortgage does not meet one or more of the requirements for the SBL Purchase Product, Seller/Servicer must obtain a waiver from the Small Balance Loan Team</w:t>
      </w:r>
      <w:r w:rsidRPr="005C521A">
        <w:t xml:space="preserve"> prior to submitting the proposed SBL Mortgage to Freddie Mac. </w:t>
      </w:r>
    </w:p>
    <w:p w14:paraId="38C069A4" w14:textId="77777777" w:rsidR="00CB3F47" w:rsidRPr="00FC27C2" w:rsidRDefault="00CB3F47" w:rsidP="00CB3F47">
      <w:pPr>
        <w:pStyle w:val="h1-body"/>
      </w:pPr>
    </w:p>
    <w:p w14:paraId="48A18754" w14:textId="77777777" w:rsidR="00CB3F47" w:rsidRPr="00FC27C2" w:rsidRDefault="00CB3F47" w:rsidP="00CB3F47">
      <w:pPr>
        <w:pStyle w:val="h1-body"/>
      </w:pPr>
      <w:r w:rsidRPr="00FC27C2">
        <w:t>If Freddie Mac approves the proposed SBL Mortgage, Freddie Mac will issue a Letter of Commitment as described in Section 18SBL.6.</w:t>
      </w:r>
    </w:p>
    <w:p w14:paraId="77D177AE" w14:textId="77777777" w:rsidR="00CB3F47" w:rsidRPr="00FC27C2" w:rsidRDefault="00CB3F47" w:rsidP="00CB3F47">
      <w:pPr>
        <w:pStyle w:val="h1-body"/>
      </w:pPr>
    </w:p>
    <w:p w14:paraId="39E94A11" w14:textId="4F3B4A34" w:rsidR="00CB3F47" w:rsidRPr="00FC27C2" w:rsidRDefault="00CB3F47" w:rsidP="00CB3F47">
      <w:pPr>
        <w:pStyle w:val="Heading1"/>
      </w:pPr>
      <w:r w:rsidRPr="00FC27C2">
        <w:t>Standard delivery—application fee</w:t>
      </w:r>
      <w:r w:rsidR="0038025C">
        <w:t xml:space="preserve"> and </w:t>
      </w:r>
      <w:r w:rsidR="004B719F">
        <w:t xml:space="preserve">rate-lock </w:t>
      </w:r>
      <w:r w:rsidR="0038025C">
        <w:t>hedging fee</w:t>
      </w:r>
      <w:r w:rsidRPr="00FC27C2">
        <w:t xml:space="preserve"> (</w:t>
      </w:r>
      <w:r w:rsidR="0038025C">
        <w:t>__/__/2019</w:t>
      </w:r>
      <w:r w:rsidRPr="00FC27C2">
        <w:t>)</w:t>
      </w:r>
    </w:p>
    <w:p w14:paraId="45CB51C1" w14:textId="26D3DD0F" w:rsidR="00CB3F47" w:rsidRDefault="003A1968" w:rsidP="006F21EA">
      <w:pPr>
        <w:pStyle w:val="h1-body"/>
        <w:ind w:left="2160" w:hanging="720"/>
      </w:pPr>
      <w:r>
        <w:t>a.</w:t>
      </w:r>
      <w:r>
        <w:tab/>
      </w:r>
      <w:r w:rsidR="00CB3F47" w:rsidRPr="00FC27C2">
        <w:t>Upon delivery of the full underwriting package, a nonrefundable application fee equal to 10 basis points of the Loan Amount will be deemed earned by Freddie Mac from Seller/Servicer. This application fee will not be due for Properties located in Top Markets (identified in the document titled “Market Tiering (SBL)” available on FreddieMac.com) unless otherwise specified in writing by Freddie Mac.</w:t>
      </w:r>
    </w:p>
    <w:p w14:paraId="4A2509C9" w14:textId="09F5529E" w:rsidR="0038025C" w:rsidRDefault="0038025C" w:rsidP="00CB3F47">
      <w:pPr>
        <w:pStyle w:val="h1-body"/>
      </w:pPr>
    </w:p>
    <w:p w14:paraId="54DFCDDE" w14:textId="441AAC39" w:rsidR="003A1968" w:rsidRPr="003C7BC0" w:rsidRDefault="003A1968" w:rsidP="006F21EA">
      <w:pPr>
        <w:pStyle w:val="h1-body"/>
        <w:ind w:left="2160" w:hanging="720"/>
      </w:pPr>
      <w:r w:rsidRPr="003C7BC0">
        <w:t>b.</w:t>
      </w:r>
      <w:r w:rsidRPr="003C7BC0">
        <w:tab/>
        <w:t>By delivering the full underwriting package, Seller/Servicer acknowledges</w:t>
      </w:r>
      <w:r w:rsidR="00627E47" w:rsidRPr="003C7BC0">
        <w:t xml:space="preserve"> </w:t>
      </w:r>
      <w:r w:rsidR="003C7BC0" w:rsidRPr="003C7BC0">
        <w:t xml:space="preserve">each of the following: </w:t>
      </w:r>
    </w:p>
    <w:p w14:paraId="2448A961" w14:textId="5AB180EC" w:rsidR="003A1968" w:rsidRPr="003C7BC0" w:rsidRDefault="003A1968" w:rsidP="006F21EA">
      <w:pPr>
        <w:pStyle w:val="h1-body"/>
        <w:ind w:left="0"/>
      </w:pPr>
    </w:p>
    <w:p w14:paraId="1A2B2186" w14:textId="5AF76E13" w:rsidR="00627E47" w:rsidRPr="003C7BC0" w:rsidRDefault="003A1968" w:rsidP="003A1968">
      <w:pPr>
        <w:pStyle w:val="h1-body"/>
        <w:numPr>
          <w:ilvl w:val="0"/>
          <w:numId w:val="19"/>
        </w:numPr>
      </w:pPr>
      <w:r w:rsidRPr="003C7BC0">
        <w:t xml:space="preserve">Freddie Mac will begin underwriting the </w:t>
      </w:r>
      <w:r w:rsidR="001747D5">
        <w:t>proposed SBL Mortgage</w:t>
      </w:r>
      <w:r w:rsidRPr="003C7BC0">
        <w:t xml:space="preserve"> and will incur costs associated with that underwriting</w:t>
      </w:r>
    </w:p>
    <w:p w14:paraId="3F44508C" w14:textId="77777777" w:rsidR="00627E47" w:rsidRPr="003C7BC0" w:rsidRDefault="00627E47" w:rsidP="006F21EA">
      <w:pPr>
        <w:pStyle w:val="h1-body"/>
        <w:ind w:left="2880"/>
      </w:pPr>
    </w:p>
    <w:p w14:paraId="7FB2EE24" w14:textId="05939752" w:rsidR="00627E47" w:rsidRPr="006F21EA" w:rsidRDefault="00627E47" w:rsidP="003A1968">
      <w:pPr>
        <w:pStyle w:val="h1-body"/>
        <w:numPr>
          <w:ilvl w:val="0"/>
          <w:numId w:val="19"/>
        </w:numPr>
      </w:pPr>
      <w:r w:rsidRPr="006F21EA">
        <w:t xml:space="preserve">Freddie Mac will </w:t>
      </w:r>
      <w:r w:rsidR="004D54F2" w:rsidRPr="006F21EA">
        <w:t xml:space="preserve">have </w:t>
      </w:r>
      <w:r w:rsidRPr="006F21EA">
        <w:t>enter</w:t>
      </w:r>
      <w:r w:rsidR="004D54F2" w:rsidRPr="006F21EA">
        <w:t>ed</w:t>
      </w:r>
      <w:r w:rsidRPr="006F21EA">
        <w:t xml:space="preserve"> into one or more </w:t>
      </w:r>
      <w:r w:rsidR="004B719F">
        <w:t xml:space="preserve">rate-lock </w:t>
      </w:r>
      <w:r w:rsidRPr="006F21EA">
        <w:t xml:space="preserve">hedge transactions relative to the interest rate specified on the Pricing Grid for the </w:t>
      </w:r>
      <w:r w:rsidR="003C7BC0" w:rsidRPr="006F21EA">
        <w:t xml:space="preserve">proposed SBL Mortgage and will incur costs associated with such </w:t>
      </w:r>
      <w:r w:rsidR="004B719F">
        <w:t xml:space="preserve">rate-lock </w:t>
      </w:r>
      <w:r w:rsidR="003C7BC0" w:rsidRPr="006F21EA">
        <w:t>hedge transactions</w:t>
      </w:r>
    </w:p>
    <w:p w14:paraId="29BC813F" w14:textId="77777777" w:rsidR="00627E47" w:rsidRPr="003C7BC0" w:rsidRDefault="00627E47" w:rsidP="006F21EA">
      <w:pPr>
        <w:pStyle w:val="ListParagraph"/>
      </w:pPr>
    </w:p>
    <w:p w14:paraId="2BC65F5A" w14:textId="52FC44F2" w:rsidR="00396189" w:rsidRDefault="00396189" w:rsidP="006F21EA">
      <w:pPr>
        <w:pStyle w:val="h1-body"/>
      </w:pPr>
      <w:r w:rsidRPr="006F21EA">
        <w:rPr>
          <w:highlight w:val="yellow"/>
        </w:rPr>
        <w:t>If any of the following circumstances occur after Seller/Servicer delivers the underwriting package to Freddie Mac but before Seller/Servicer accepts the Letter of Commitment as specified in Section 18SBL.6(b),</w:t>
      </w:r>
      <w:r w:rsidR="00BC22C5">
        <w:rPr>
          <w:highlight w:val="yellow"/>
        </w:rPr>
        <w:t xml:space="preserve"> then</w:t>
      </w:r>
      <w:r w:rsidRPr="006F21EA">
        <w:rPr>
          <w:highlight w:val="yellow"/>
        </w:rPr>
        <w:t xml:space="preserve"> Freddie Mac </w:t>
      </w:r>
      <w:r w:rsidRPr="00396189">
        <w:rPr>
          <w:highlight w:val="yellow"/>
        </w:rPr>
        <w:t>will be forced to liquidate its rate-lock hedge</w:t>
      </w:r>
      <w:r w:rsidRPr="00396189">
        <w:rPr>
          <w:color w:val="FF0000"/>
          <w:highlight w:val="yellow"/>
        </w:rPr>
        <w:t>(s) associated with the SBL Mortgage</w:t>
      </w:r>
      <w:r w:rsidRPr="006F21EA">
        <w:rPr>
          <w:highlight w:val="yellow"/>
        </w:rPr>
        <w:t xml:space="preserve">. To </w:t>
      </w:r>
      <w:r w:rsidRPr="00396189">
        <w:rPr>
          <w:highlight w:val="yellow"/>
        </w:rPr>
        <w:t>offset the losses</w:t>
      </w:r>
      <w:r w:rsidRPr="006F21EA">
        <w:rPr>
          <w:highlight w:val="yellow"/>
        </w:rPr>
        <w:t xml:space="preserve"> associated with </w:t>
      </w:r>
      <w:r w:rsidRPr="006F21EA">
        <w:rPr>
          <w:highlight w:val="yellow"/>
        </w:rPr>
        <w:lastRenderedPageBreak/>
        <w:t xml:space="preserve">the costs described in this Section 18SBL.5(b) </w:t>
      </w:r>
      <w:r w:rsidRPr="00396189">
        <w:rPr>
          <w:highlight w:val="yellow"/>
        </w:rPr>
        <w:t>and the liquidation of the rate-lock hedge</w:t>
      </w:r>
      <w:r w:rsidRPr="00396189">
        <w:rPr>
          <w:color w:val="FF0000"/>
          <w:highlight w:val="yellow"/>
        </w:rPr>
        <w:t>(</w:t>
      </w:r>
      <w:r w:rsidRPr="00396189">
        <w:rPr>
          <w:highlight w:val="yellow"/>
        </w:rPr>
        <w:t>s</w:t>
      </w:r>
      <w:r w:rsidRPr="00396189">
        <w:rPr>
          <w:color w:val="FF0000"/>
          <w:highlight w:val="yellow"/>
        </w:rPr>
        <w:t>)</w:t>
      </w:r>
      <w:r w:rsidRPr="006F21EA">
        <w:rPr>
          <w:highlight w:val="yellow"/>
        </w:rPr>
        <w:t xml:space="preserve">, Seller/Servicer will owe Freddie Mac, </w:t>
      </w:r>
      <w:r w:rsidRPr="00396189">
        <w:rPr>
          <w:highlight w:val="yellow"/>
        </w:rPr>
        <w:t>as liquidated damages</w:t>
      </w:r>
      <w:r w:rsidRPr="006F21EA">
        <w:rPr>
          <w:highlight w:val="yellow"/>
        </w:rPr>
        <w:t>, a rate-lock hedging fee equal to one percent of the proposed SBL Mortgage amount:</w:t>
      </w:r>
    </w:p>
    <w:p w14:paraId="7BD15382" w14:textId="7E1CA3D7" w:rsidR="003A1968" w:rsidRPr="003C7BC0" w:rsidRDefault="003A1968">
      <w:pPr>
        <w:pStyle w:val="h1-body"/>
        <w:ind w:left="2160"/>
      </w:pPr>
    </w:p>
    <w:p w14:paraId="12E5D5CA" w14:textId="77777777" w:rsidR="00651ED6" w:rsidRPr="003C7BC0" w:rsidRDefault="00651ED6" w:rsidP="00CB3F47">
      <w:pPr>
        <w:pStyle w:val="h1-body"/>
      </w:pPr>
    </w:p>
    <w:p w14:paraId="45E3194D" w14:textId="344E7E5B" w:rsidR="0038025C" w:rsidRPr="003C7BC0" w:rsidRDefault="0038025C" w:rsidP="00CB3F47">
      <w:pPr>
        <w:pStyle w:val="h1-body"/>
      </w:pPr>
    </w:p>
    <w:p w14:paraId="06C14AC5" w14:textId="77777777" w:rsidR="00131A3E" w:rsidRDefault="0038025C" w:rsidP="006F21EA">
      <w:pPr>
        <w:pStyle w:val="ListParagraph"/>
        <w:numPr>
          <w:ilvl w:val="0"/>
          <w:numId w:val="20"/>
        </w:numPr>
        <w:ind w:left="2880" w:hanging="450"/>
        <w:rPr>
          <w:rFonts w:ascii="Arial" w:hAnsi="Arial" w:cs="Arial"/>
        </w:rPr>
      </w:pPr>
      <w:r w:rsidRPr="006F21EA">
        <w:rPr>
          <w:rFonts w:ascii="Arial" w:hAnsi="Arial" w:cs="Arial"/>
        </w:rPr>
        <w:t>Seller</w:t>
      </w:r>
      <w:r w:rsidR="003C7BC0">
        <w:rPr>
          <w:rFonts w:ascii="Arial" w:hAnsi="Arial" w:cs="Arial"/>
        </w:rPr>
        <w:t>/Servicer</w:t>
      </w:r>
      <w:r w:rsidRPr="006F21EA">
        <w:rPr>
          <w:rFonts w:ascii="Arial" w:hAnsi="Arial" w:cs="Arial"/>
        </w:rPr>
        <w:t xml:space="preserve"> delivers an </w:t>
      </w:r>
      <w:r w:rsidR="003C7BC0">
        <w:rPr>
          <w:rFonts w:ascii="Arial" w:hAnsi="Arial" w:cs="Arial"/>
        </w:rPr>
        <w:t>u</w:t>
      </w:r>
      <w:r w:rsidRPr="006F21EA">
        <w:rPr>
          <w:rFonts w:ascii="Arial" w:hAnsi="Arial" w:cs="Arial"/>
        </w:rPr>
        <w:t xml:space="preserve">nderwriting </w:t>
      </w:r>
      <w:r w:rsidR="003C7BC0">
        <w:rPr>
          <w:rFonts w:ascii="Arial" w:hAnsi="Arial" w:cs="Arial"/>
        </w:rPr>
        <w:t>p</w:t>
      </w:r>
      <w:r w:rsidRPr="006F21EA">
        <w:rPr>
          <w:rFonts w:ascii="Arial" w:hAnsi="Arial" w:cs="Arial"/>
        </w:rPr>
        <w:t xml:space="preserve">ackage that fails to meet Freddie Mac’s requirements </w:t>
      </w:r>
      <w:proofErr w:type="gramStart"/>
      <w:r w:rsidRPr="006F21EA">
        <w:rPr>
          <w:rFonts w:ascii="Arial" w:hAnsi="Arial" w:cs="Arial"/>
        </w:rPr>
        <w:t>in order for</w:t>
      </w:r>
      <w:proofErr w:type="gramEnd"/>
      <w:r w:rsidRPr="006F21EA">
        <w:rPr>
          <w:rFonts w:ascii="Arial" w:hAnsi="Arial" w:cs="Arial"/>
        </w:rPr>
        <w:t xml:space="preserve"> Freddie Mac to issue a </w:t>
      </w:r>
      <w:r w:rsidR="003C7BC0">
        <w:rPr>
          <w:rFonts w:ascii="Arial" w:hAnsi="Arial" w:cs="Arial"/>
        </w:rPr>
        <w:t xml:space="preserve">Letter of </w:t>
      </w:r>
      <w:r w:rsidRPr="006F21EA">
        <w:rPr>
          <w:rFonts w:ascii="Arial" w:hAnsi="Arial" w:cs="Arial"/>
        </w:rPr>
        <w:t>Commitment</w:t>
      </w:r>
    </w:p>
    <w:p w14:paraId="7503E962" w14:textId="77777777" w:rsidR="00131A3E" w:rsidRDefault="00131A3E" w:rsidP="006F21EA">
      <w:pPr>
        <w:pStyle w:val="ListParagraph"/>
        <w:ind w:left="2880"/>
        <w:rPr>
          <w:rFonts w:ascii="Arial" w:hAnsi="Arial" w:cs="Arial"/>
        </w:rPr>
      </w:pPr>
    </w:p>
    <w:p w14:paraId="67D6581C" w14:textId="77777777" w:rsidR="00131A3E" w:rsidRDefault="0038025C" w:rsidP="006F21EA">
      <w:pPr>
        <w:pStyle w:val="ListParagraph"/>
        <w:numPr>
          <w:ilvl w:val="0"/>
          <w:numId w:val="20"/>
        </w:numPr>
        <w:ind w:left="2880" w:hanging="450"/>
        <w:rPr>
          <w:rFonts w:ascii="Arial" w:hAnsi="Arial" w:cs="Arial"/>
        </w:rPr>
      </w:pPr>
      <w:r w:rsidRPr="006F21EA">
        <w:rPr>
          <w:rFonts w:ascii="Arial" w:hAnsi="Arial" w:cs="Arial"/>
        </w:rPr>
        <w:t xml:space="preserve">Freddie Mac issues a </w:t>
      </w:r>
      <w:r w:rsidR="00131A3E">
        <w:rPr>
          <w:rFonts w:ascii="Arial" w:hAnsi="Arial" w:cs="Arial"/>
        </w:rPr>
        <w:t xml:space="preserve">Letter of </w:t>
      </w:r>
      <w:r w:rsidRPr="006F21EA">
        <w:rPr>
          <w:rFonts w:ascii="Arial" w:hAnsi="Arial" w:cs="Arial"/>
        </w:rPr>
        <w:t>Commitment and Seller</w:t>
      </w:r>
      <w:r w:rsidR="00131A3E">
        <w:rPr>
          <w:rFonts w:ascii="Arial" w:hAnsi="Arial" w:cs="Arial"/>
        </w:rPr>
        <w:t>/Servicer</w:t>
      </w:r>
      <w:r w:rsidRPr="006F21EA">
        <w:rPr>
          <w:rFonts w:ascii="Arial" w:hAnsi="Arial" w:cs="Arial"/>
        </w:rPr>
        <w:t xml:space="preserve"> declines to accept the </w:t>
      </w:r>
      <w:r w:rsidR="00131A3E">
        <w:rPr>
          <w:rFonts w:ascii="Arial" w:hAnsi="Arial" w:cs="Arial"/>
        </w:rPr>
        <w:t xml:space="preserve">Letter of </w:t>
      </w:r>
      <w:r w:rsidRPr="006F21EA">
        <w:rPr>
          <w:rFonts w:ascii="Arial" w:hAnsi="Arial" w:cs="Arial"/>
        </w:rPr>
        <w:t xml:space="preserve">Commitment for any reason </w:t>
      </w:r>
    </w:p>
    <w:p w14:paraId="24FF0A02" w14:textId="77777777" w:rsidR="00131A3E" w:rsidRPr="006F21EA" w:rsidRDefault="00131A3E" w:rsidP="006F21EA">
      <w:pPr>
        <w:pStyle w:val="ListParagraph"/>
        <w:rPr>
          <w:rFonts w:ascii="Arial" w:hAnsi="Arial" w:cs="Arial"/>
        </w:rPr>
      </w:pPr>
    </w:p>
    <w:p w14:paraId="21B83FDC" w14:textId="30EC5993" w:rsidR="0038025C" w:rsidRPr="006F21EA" w:rsidRDefault="0038025C" w:rsidP="006F21EA">
      <w:pPr>
        <w:pStyle w:val="ListParagraph"/>
        <w:numPr>
          <w:ilvl w:val="0"/>
          <w:numId w:val="20"/>
        </w:numPr>
        <w:ind w:left="2880" w:hanging="450"/>
        <w:rPr>
          <w:rFonts w:ascii="Arial" w:hAnsi="Arial" w:cs="Arial"/>
        </w:rPr>
      </w:pPr>
      <w:r w:rsidRPr="006F21EA">
        <w:rPr>
          <w:rFonts w:ascii="Arial" w:hAnsi="Arial" w:cs="Arial"/>
        </w:rPr>
        <w:t xml:space="preserve">Freddie Mac does not issue a </w:t>
      </w:r>
      <w:r w:rsidR="00131A3E">
        <w:rPr>
          <w:rFonts w:ascii="Arial" w:hAnsi="Arial" w:cs="Arial"/>
        </w:rPr>
        <w:t xml:space="preserve">Letter of </w:t>
      </w:r>
      <w:r w:rsidRPr="006F21EA">
        <w:rPr>
          <w:rFonts w:ascii="Arial" w:hAnsi="Arial" w:cs="Arial"/>
        </w:rPr>
        <w:t xml:space="preserve">Commitment based on its determination that the </w:t>
      </w:r>
      <w:r w:rsidR="00131A3E">
        <w:rPr>
          <w:rFonts w:ascii="Arial" w:hAnsi="Arial" w:cs="Arial"/>
        </w:rPr>
        <w:t>p</w:t>
      </w:r>
      <w:r w:rsidRPr="006F21EA">
        <w:rPr>
          <w:rFonts w:ascii="Arial" w:hAnsi="Arial" w:cs="Arial"/>
        </w:rPr>
        <w:t xml:space="preserve">roposed Property, </w:t>
      </w:r>
      <w:r w:rsidR="00131A3E">
        <w:rPr>
          <w:rFonts w:ascii="Arial" w:hAnsi="Arial" w:cs="Arial"/>
        </w:rPr>
        <w:t>p</w:t>
      </w:r>
      <w:r w:rsidRPr="006F21EA">
        <w:rPr>
          <w:rFonts w:ascii="Arial" w:hAnsi="Arial" w:cs="Arial"/>
        </w:rPr>
        <w:t xml:space="preserve">roposed Borrower, </w:t>
      </w:r>
      <w:r w:rsidR="00131A3E">
        <w:rPr>
          <w:rFonts w:ascii="Arial" w:hAnsi="Arial" w:cs="Arial"/>
        </w:rPr>
        <w:t>p</w:t>
      </w:r>
      <w:r w:rsidRPr="006F21EA">
        <w:rPr>
          <w:rFonts w:ascii="Arial" w:hAnsi="Arial" w:cs="Arial"/>
        </w:rPr>
        <w:t xml:space="preserve">roposed Borrower Principal, </w:t>
      </w:r>
      <w:r w:rsidR="00131A3E">
        <w:rPr>
          <w:rFonts w:ascii="Arial" w:hAnsi="Arial" w:cs="Arial"/>
        </w:rPr>
        <w:t>p</w:t>
      </w:r>
      <w:r w:rsidRPr="006F21EA">
        <w:rPr>
          <w:rFonts w:ascii="Arial" w:hAnsi="Arial" w:cs="Arial"/>
        </w:rPr>
        <w:t xml:space="preserve">roposed </w:t>
      </w:r>
      <w:r w:rsidR="00131A3E">
        <w:rPr>
          <w:rFonts w:ascii="Arial" w:hAnsi="Arial" w:cs="Arial"/>
        </w:rPr>
        <w:t>g</w:t>
      </w:r>
      <w:r w:rsidRPr="006F21EA">
        <w:rPr>
          <w:rFonts w:ascii="Arial" w:hAnsi="Arial" w:cs="Arial"/>
        </w:rPr>
        <w:t xml:space="preserve">uarantor or any other feature of the </w:t>
      </w:r>
      <w:r w:rsidR="00131A3E">
        <w:rPr>
          <w:rFonts w:ascii="Arial" w:hAnsi="Arial" w:cs="Arial"/>
        </w:rPr>
        <w:t>proposed SBL Mortgage</w:t>
      </w:r>
      <w:r w:rsidRPr="006F21EA">
        <w:rPr>
          <w:rFonts w:ascii="Arial" w:hAnsi="Arial" w:cs="Arial"/>
        </w:rPr>
        <w:t xml:space="preserve">, including the environmental or engineering condition of the </w:t>
      </w:r>
      <w:r w:rsidR="00131A3E" w:rsidRPr="00C07A03">
        <w:rPr>
          <w:rFonts w:ascii="Arial" w:hAnsi="Arial" w:cs="Arial"/>
        </w:rPr>
        <w:t>p</w:t>
      </w:r>
      <w:r w:rsidRPr="006F21EA">
        <w:rPr>
          <w:rFonts w:ascii="Arial" w:hAnsi="Arial" w:cs="Arial"/>
        </w:rPr>
        <w:t>roposed Property, the appraisal, title, credit history, litigation history, or financial statements, does not meet Freddie Mac’s requirements.</w:t>
      </w:r>
    </w:p>
    <w:p w14:paraId="3476ACAB" w14:textId="77777777" w:rsidR="0038025C" w:rsidRPr="006F21EA" w:rsidRDefault="0038025C" w:rsidP="0038025C">
      <w:pPr>
        <w:ind w:left="720"/>
        <w:rPr>
          <w:rFonts w:ascii="Arial" w:hAnsi="Arial" w:cs="Arial"/>
        </w:rPr>
      </w:pPr>
    </w:p>
    <w:p w14:paraId="18D22479" w14:textId="44C54CC1" w:rsidR="008F069A" w:rsidRDefault="0038025C" w:rsidP="00131A3E">
      <w:pPr>
        <w:ind w:left="2160"/>
        <w:rPr>
          <w:rFonts w:ascii="Arial" w:hAnsi="Arial" w:cs="Arial"/>
        </w:rPr>
      </w:pPr>
      <w:r w:rsidRPr="006F21EA">
        <w:rPr>
          <w:rFonts w:ascii="Arial" w:hAnsi="Arial" w:cs="Arial"/>
        </w:rPr>
        <w:t xml:space="preserve">Freddie Mac will have the right to determine whether </w:t>
      </w:r>
      <w:r w:rsidR="00131A3E">
        <w:rPr>
          <w:rFonts w:ascii="Arial" w:hAnsi="Arial" w:cs="Arial"/>
        </w:rPr>
        <w:t xml:space="preserve">any of the circumstances described in this </w:t>
      </w:r>
      <w:r w:rsidR="00131A3E" w:rsidRPr="002D1599">
        <w:rPr>
          <w:rFonts w:ascii="Arial" w:hAnsi="Arial" w:cs="Arial"/>
        </w:rPr>
        <w:t>Section 18SBL.5(b)</w:t>
      </w:r>
      <w:r w:rsidR="00131A3E">
        <w:rPr>
          <w:rFonts w:ascii="Arial" w:hAnsi="Arial" w:cs="Arial"/>
        </w:rPr>
        <w:t xml:space="preserve"> have occurred </w:t>
      </w:r>
      <w:r w:rsidR="00C11F25">
        <w:rPr>
          <w:rFonts w:ascii="Arial" w:hAnsi="Arial" w:cs="Arial"/>
        </w:rPr>
        <w:t xml:space="preserve">and that a rate-lock hedging fee is due </w:t>
      </w:r>
      <w:r w:rsidRPr="006F21EA">
        <w:rPr>
          <w:rFonts w:ascii="Arial" w:hAnsi="Arial" w:cs="Arial"/>
        </w:rPr>
        <w:t xml:space="preserve">at any time after the </w:t>
      </w:r>
      <w:r w:rsidR="00131A3E" w:rsidRPr="00C07A03">
        <w:rPr>
          <w:rFonts w:ascii="Arial" w:hAnsi="Arial" w:cs="Arial"/>
        </w:rPr>
        <w:t xml:space="preserve">date that is </w:t>
      </w:r>
      <w:r w:rsidR="00C11F25">
        <w:rPr>
          <w:rFonts w:ascii="Arial" w:hAnsi="Arial" w:cs="Arial"/>
        </w:rPr>
        <w:t>30</w:t>
      </w:r>
      <w:r w:rsidR="00131A3E" w:rsidRPr="00C07A03">
        <w:rPr>
          <w:rFonts w:ascii="Arial" w:hAnsi="Arial" w:cs="Arial"/>
        </w:rPr>
        <w:t xml:space="preserve"> days after Seller/Servicer delivers the underwriting package</w:t>
      </w:r>
      <w:r w:rsidR="00131A3E">
        <w:rPr>
          <w:rFonts w:ascii="Arial" w:hAnsi="Arial" w:cs="Arial"/>
        </w:rPr>
        <w:t xml:space="preserve"> </w:t>
      </w:r>
      <w:r w:rsidRPr="006F21EA">
        <w:rPr>
          <w:rFonts w:ascii="Arial" w:hAnsi="Arial" w:cs="Arial"/>
        </w:rPr>
        <w:t xml:space="preserve">and will have no obligation to delay such determination to provide additional time for the </w:t>
      </w:r>
      <w:r w:rsidR="00131A3E">
        <w:rPr>
          <w:rFonts w:ascii="Arial" w:hAnsi="Arial" w:cs="Arial"/>
        </w:rPr>
        <w:t>p</w:t>
      </w:r>
      <w:r w:rsidRPr="006F21EA">
        <w:rPr>
          <w:rFonts w:ascii="Arial" w:hAnsi="Arial" w:cs="Arial"/>
        </w:rPr>
        <w:t xml:space="preserve">roposed Property, the </w:t>
      </w:r>
      <w:r w:rsidR="00131A3E">
        <w:rPr>
          <w:rFonts w:ascii="Arial" w:hAnsi="Arial" w:cs="Arial"/>
        </w:rPr>
        <w:t>p</w:t>
      </w:r>
      <w:r w:rsidRPr="006F21EA">
        <w:rPr>
          <w:rFonts w:ascii="Arial" w:hAnsi="Arial" w:cs="Arial"/>
        </w:rPr>
        <w:t xml:space="preserve">roposed Borrower, or any other feature of the </w:t>
      </w:r>
      <w:r w:rsidR="00131A3E">
        <w:rPr>
          <w:rFonts w:ascii="Arial" w:hAnsi="Arial" w:cs="Arial"/>
        </w:rPr>
        <w:t>p</w:t>
      </w:r>
      <w:r w:rsidRPr="006F21EA">
        <w:rPr>
          <w:rFonts w:ascii="Arial" w:hAnsi="Arial" w:cs="Arial"/>
        </w:rPr>
        <w:t xml:space="preserve">roposed </w:t>
      </w:r>
      <w:r w:rsidR="00131A3E">
        <w:rPr>
          <w:rFonts w:ascii="Arial" w:hAnsi="Arial" w:cs="Arial"/>
        </w:rPr>
        <w:t xml:space="preserve">SBL </w:t>
      </w:r>
      <w:r w:rsidRPr="006F21EA">
        <w:rPr>
          <w:rFonts w:ascii="Arial" w:hAnsi="Arial" w:cs="Arial"/>
        </w:rPr>
        <w:t>Mortgage to satisfy Freddie Mac’s requirements.</w:t>
      </w:r>
      <w:r w:rsidR="00131A3E">
        <w:rPr>
          <w:rFonts w:ascii="Arial" w:hAnsi="Arial" w:cs="Arial"/>
        </w:rPr>
        <w:t xml:space="preserve"> </w:t>
      </w:r>
    </w:p>
    <w:p w14:paraId="06D7551F" w14:textId="77777777" w:rsidR="008F069A" w:rsidRDefault="008F069A" w:rsidP="00131A3E">
      <w:pPr>
        <w:ind w:left="2160"/>
        <w:rPr>
          <w:rFonts w:ascii="Arial" w:hAnsi="Arial" w:cs="Arial"/>
        </w:rPr>
      </w:pPr>
    </w:p>
    <w:p w14:paraId="5144C4C9" w14:textId="519137EB" w:rsidR="0038025C" w:rsidRPr="006F21EA" w:rsidRDefault="00131A3E" w:rsidP="006F21EA">
      <w:pPr>
        <w:ind w:left="2160"/>
        <w:rPr>
          <w:rFonts w:ascii="Arial" w:hAnsi="Arial" w:cs="Arial"/>
        </w:rPr>
      </w:pPr>
      <w:r>
        <w:rPr>
          <w:rFonts w:ascii="Arial" w:hAnsi="Arial" w:cs="Arial"/>
        </w:rPr>
        <w:t>Freddie Mac’s determinations under this Section 18SBL5(b) will be conclusive</w:t>
      </w:r>
      <w:r w:rsidR="008F069A">
        <w:rPr>
          <w:rFonts w:ascii="Arial" w:hAnsi="Arial" w:cs="Arial"/>
        </w:rPr>
        <w:t xml:space="preserve"> and Freddie Mac’s collection of</w:t>
      </w:r>
      <w:r w:rsidR="00B02D6B">
        <w:rPr>
          <w:rFonts w:ascii="Arial" w:hAnsi="Arial" w:cs="Arial"/>
        </w:rPr>
        <w:t xml:space="preserve"> the rate-lock </w:t>
      </w:r>
      <w:r w:rsidR="008F069A">
        <w:rPr>
          <w:rFonts w:ascii="Arial" w:hAnsi="Arial" w:cs="Arial"/>
        </w:rPr>
        <w:t>hedging fee will not prevent it from exercising any other remedies available in this Guide.</w:t>
      </w:r>
    </w:p>
    <w:p w14:paraId="42524BAA" w14:textId="77777777" w:rsidR="0038025C" w:rsidRPr="00FC27C2" w:rsidRDefault="0038025C" w:rsidP="00CB3F47">
      <w:pPr>
        <w:pStyle w:val="h1-body"/>
      </w:pPr>
    </w:p>
    <w:p w14:paraId="240C4251" w14:textId="77777777" w:rsidR="00CB3F47" w:rsidRPr="00FC27C2" w:rsidRDefault="00CB3F47" w:rsidP="00CB3F47">
      <w:pPr>
        <w:pStyle w:val="h1-body"/>
      </w:pPr>
    </w:p>
    <w:p w14:paraId="0558D1CE" w14:textId="5448B6C1" w:rsidR="00CB3F47" w:rsidRPr="00FC27C2" w:rsidRDefault="00CB3F47" w:rsidP="00CB3F47">
      <w:pPr>
        <w:pStyle w:val="Heading1"/>
      </w:pPr>
      <w:r w:rsidRPr="00FC27C2">
        <w:lastRenderedPageBreak/>
        <w:t>Standard delivery—Letter of Commitment (06/30/16)</w:t>
      </w:r>
    </w:p>
    <w:p w14:paraId="3B757E0A" w14:textId="77777777" w:rsidR="00CB3F47" w:rsidRPr="00FC27C2" w:rsidRDefault="00CB3F47" w:rsidP="00CB3F47">
      <w:pPr>
        <w:pStyle w:val="h1-body"/>
      </w:pPr>
      <w:r w:rsidRPr="00FC27C2">
        <w:t>The Letter of Commitment represents Freddie Mac's offer to purchase an SBL Mortgage secured by an eligible Property as determined by Freddie Mac. A Letter of Commitment provides the purchase conditions applicable under a mandatory Purchase Contract.</w:t>
      </w:r>
    </w:p>
    <w:p w14:paraId="257113EF" w14:textId="77777777" w:rsidR="00CB3F47" w:rsidRPr="00FC27C2" w:rsidRDefault="00CB3F47" w:rsidP="00CB3F47">
      <w:pPr>
        <w:pStyle w:val="h1-body"/>
      </w:pPr>
    </w:p>
    <w:p w14:paraId="7E168A8B" w14:textId="309A90EC" w:rsidR="00CB3F47" w:rsidRPr="00FC27C2" w:rsidRDefault="00CB3F47" w:rsidP="00CB3F47">
      <w:pPr>
        <w:pStyle w:val="Heading2"/>
      </w:pPr>
      <w:r w:rsidRPr="00FC27C2">
        <w:t xml:space="preserve">Issuance of Letter of Commitment </w:t>
      </w:r>
      <w:r w:rsidR="006920D2" w:rsidRPr="00FC27C2">
        <w:t>(</w:t>
      </w:r>
      <w:r w:rsidR="006920D2">
        <w:t>__/__/2019</w:t>
      </w:r>
      <w:r w:rsidR="006920D2" w:rsidRPr="00FC27C2">
        <w:t>)</w:t>
      </w:r>
    </w:p>
    <w:p w14:paraId="41CDE4B7" w14:textId="77777777" w:rsidR="00CB3F47" w:rsidRPr="00FC27C2" w:rsidRDefault="00CB3F47" w:rsidP="00CB3F47">
      <w:pPr>
        <w:pStyle w:val="h2-body"/>
      </w:pPr>
      <w:r w:rsidRPr="00FC27C2">
        <w:t>After the Seller/Servicer submits a full underwriting package meeting the requirements of Section 18SBL.4, Freddie Mac will determine if the SBL Mortgage is acceptable for purchase.</w:t>
      </w:r>
    </w:p>
    <w:p w14:paraId="12CC21D1" w14:textId="77777777" w:rsidR="00CB3F47" w:rsidRPr="00FC27C2" w:rsidRDefault="00CB3F47" w:rsidP="00CB3F47">
      <w:pPr>
        <w:pStyle w:val="h2-body"/>
      </w:pPr>
    </w:p>
    <w:p w14:paraId="3C3A0087" w14:textId="77777777" w:rsidR="00CB3F47" w:rsidRPr="00FC27C2" w:rsidRDefault="00CB3F47" w:rsidP="00CB3F47">
      <w:pPr>
        <w:pStyle w:val="h2-body"/>
      </w:pPr>
      <w:r w:rsidRPr="00FC27C2">
        <w:t>Freddie Mac intends to complete its review of the full underwriting package within nine Business Days of its receipt of the full underwriting package (including all third-party reports), but reserves the right to take such additional time as is reasonably necessary to complete its review.</w:t>
      </w:r>
    </w:p>
    <w:p w14:paraId="18331E53" w14:textId="77777777" w:rsidR="00CB3F47" w:rsidRPr="00FC27C2" w:rsidRDefault="00CB3F47" w:rsidP="00CB3F47">
      <w:pPr>
        <w:pStyle w:val="h2-body"/>
      </w:pPr>
    </w:p>
    <w:p w14:paraId="7C1F237A" w14:textId="77777777" w:rsidR="00CB3F47" w:rsidRPr="00FC27C2" w:rsidRDefault="00CB3F47" w:rsidP="00CB3F47">
      <w:pPr>
        <w:pStyle w:val="h2-body"/>
      </w:pPr>
      <w:r w:rsidRPr="00FC27C2">
        <w:t>If the contemplated SBL Mortgage is acceptable, Freddie Mac will issue a Letter of Commitment stating the maximum Mortgage amount, the maximum annual debt service (principal and interest or interest only), loan term and amortization period (if applicable), and all additional conditions that must be satisfied before Freddie Mac purchases the SBL Mortgage.</w:t>
      </w:r>
    </w:p>
    <w:p w14:paraId="51A0EA8B" w14:textId="77777777" w:rsidR="00CB3F47" w:rsidRPr="00FC27C2" w:rsidRDefault="00CB3F47" w:rsidP="00CB3F47">
      <w:pPr>
        <w:pStyle w:val="h2-body"/>
      </w:pPr>
    </w:p>
    <w:p w14:paraId="2552ADA4" w14:textId="34B67405" w:rsidR="00CB3F47" w:rsidRPr="00FC27C2" w:rsidRDefault="00CB3F47" w:rsidP="00CB3F47">
      <w:pPr>
        <w:pStyle w:val="h2-body"/>
      </w:pPr>
      <w:r w:rsidRPr="00FC27C2">
        <w:t xml:space="preserve">The Letter of Commitment is valid for the </w:t>
      </w:r>
      <w:proofErr w:type="gramStart"/>
      <w:r w:rsidRPr="00FC27C2">
        <w:t>period of time</w:t>
      </w:r>
      <w:proofErr w:type="gramEnd"/>
      <w:r w:rsidRPr="00FC27C2">
        <w:t xml:space="preserve"> stated in the Letter of Commitment. If the Seller/Servicer fails to accept the Letter of Commitment offer within that stated </w:t>
      </w:r>
      <w:proofErr w:type="gramStart"/>
      <w:r w:rsidRPr="00FC27C2">
        <w:t>time period</w:t>
      </w:r>
      <w:proofErr w:type="gramEnd"/>
      <w:r w:rsidRPr="00FC27C2">
        <w:t xml:space="preserve">, the Letter of Commitment will automatically expire, Freddie Mac will not be obligated to purchase the SBL Mortgage under any conditions, and the Seller must </w:t>
      </w:r>
      <w:r w:rsidRPr="00B852F7">
        <w:t xml:space="preserve">remit </w:t>
      </w:r>
      <w:r w:rsidR="00131A3E" w:rsidRPr="00B852F7">
        <w:t xml:space="preserve">both </w:t>
      </w:r>
      <w:r w:rsidRPr="00B852F7">
        <w:t xml:space="preserve">the application fee </w:t>
      </w:r>
      <w:r w:rsidR="00131A3E" w:rsidRPr="00B852F7">
        <w:t xml:space="preserve">and the </w:t>
      </w:r>
      <w:r w:rsidR="004B719F">
        <w:t xml:space="preserve">rate-lock </w:t>
      </w:r>
      <w:r w:rsidR="00131A3E" w:rsidRPr="00B852F7">
        <w:t xml:space="preserve">hedging fee </w:t>
      </w:r>
      <w:r w:rsidRPr="00B852F7">
        <w:t>as set forth in Section 18SBL.6(e).</w:t>
      </w:r>
      <w:r w:rsidRPr="00FC27C2">
        <w:t xml:space="preserve"> The Letter of Commitment will automatically incorporate by reference the terms set forth in Chapter 27 regarding the Commitment.</w:t>
      </w:r>
    </w:p>
    <w:p w14:paraId="6FDC2991" w14:textId="77777777" w:rsidR="00CB3F47" w:rsidRPr="00FC27C2" w:rsidRDefault="00CB3F47" w:rsidP="00CB3F47">
      <w:pPr>
        <w:pStyle w:val="h1-body"/>
      </w:pPr>
    </w:p>
    <w:p w14:paraId="6C339A55" w14:textId="3234E6C9" w:rsidR="00CB3F47" w:rsidRPr="00FC27C2" w:rsidRDefault="00CB3F47" w:rsidP="00CB3F47">
      <w:pPr>
        <w:pStyle w:val="Heading2"/>
      </w:pPr>
      <w:r w:rsidRPr="00FC27C2">
        <w:t>Seller/Servicer acceptance (06/30/16)</w:t>
      </w:r>
    </w:p>
    <w:p w14:paraId="12B4960F" w14:textId="77777777" w:rsidR="00CB3F47" w:rsidRPr="00FC27C2" w:rsidRDefault="00CB3F47" w:rsidP="00CB3F47">
      <w:pPr>
        <w:pStyle w:val="h2-body"/>
      </w:pPr>
      <w:r w:rsidRPr="00FC27C2">
        <w:t>The Seller/Servicer may accept the Letter of Commitment by following the procedures set forth in the Letter of Commitment.</w:t>
      </w:r>
    </w:p>
    <w:p w14:paraId="34ED7592" w14:textId="77777777" w:rsidR="00CB3F47" w:rsidRPr="00FC27C2" w:rsidRDefault="00CB3F47" w:rsidP="00CB3F47">
      <w:pPr>
        <w:pStyle w:val="h2-body"/>
      </w:pPr>
    </w:p>
    <w:p w14:paraId="14C43DC1" w14:textId="77777777" w:rsidR="00CB3F47" w:rsidRPr="00FC27C2" w:rsidRDefault="00CB3F47" w:rsidP="00CB3F47">
      <w:pPr>
        <w:pStyle w:val="h2-body"/>
      </w:pPr>
      <w:r w:rsidRPr="00FC27C2">
        <w:lastRenderedPageBreak/>
        <w:t>After the Seller/Servicer executes the Letter of Commitment, the Seller/Servicer may not transfer, assign or otherwise modify the letter without Freddie Mac's prior written approval.</w:t>
      </w:r>
    </w:p>
    <w:p w14:paraId="4781D52D" w14:textId="77777777" w:rsidR="00CB3F47" w:rsidRPr="00FC27C2" w:rsidRDefault="00CB3F47" w:rsidP="00CB3F47">
      <w:pPr>
        <w:pStyle w:val="h1-body"/>
      </w:pPr>
    </w:p>
    <w:p w14:paraId="5ADC04CD" w14:textId="568DA5D4" w:rsidR="00CB3F47" w:rsidRPr="00FC27C2" w:rsidRDefault="00CB3F47" w:rsidP="00CB3F47">
      <w:pPr>
        <w:pStyle w:val="Heading2"/>
      </w:pPr>
      <w:r w:rsidRPr="00FC27C2">
        <w:t xml:space="preserve">Locking the Coupon Rate and fixing SBL Mortgage amount and terms </w:t>
      </w:r>
      <w:r w:rsidR="006920D2" w:rsidRPr="00FC27C2">
        <w:t>(</w:t>
      </w:r>
      <w:r w:rsidR="006920D2">
        <w:t>__/__/2019</w:t>
      </w:r>
      <w:r w:rsidR="006920D2" w:rsidRPr="00FC27C2">
        <w:t>)</w:t>
      </w:r>
    </w:p>
    <w:p w14:paraId="45B10410" w14:textId="3D03F48D" w:rsidR="00CB3F47" w:rsidRPr="00FC27C2" w:rsidRDefault="00CB3F47" w:rsidP="00CB3F47">
      <w:pPr>
        <w:pStyle w:val="h2-body"/>
      </w:pPr>
      <w:r w:rsidRPr="00FC27C2">
        <w:t xml:space="preserve">Provided the Seller/Servicer has accepted the Letter of Commitment, per Section 18SBL.6(b), the Seller/Servicer may lock the Coupon Rate stated in the Letter of Commitment and fix the actual SBL Mortgage amount and terms by submitting the executed Letter of Commitment to Freddie Mac, via DMS, no later than 3:30 p.m. Washington DC time on the </w:t>
      </w:r>
      <w:r w:rsidR="00131A3E">
        <w:t>“Commitment Expiration Date” as specified in the Letter of Commitment</w:t>
      </w:r>
      <w:r w:rsidRPr="00FC27C2">
        <w:t xml:space="preserve">. If either the Seller/Servicer or Freddie Mac does not have access to Multifamily DMS for </w:t>
      </w:r>
      <w:proofErr w:type="gramStart"/>
      <w:r w:rsidRPr="00FC27C2">
        <w:t>a period of time</w:t>
      </w:r>
      <w:proofErr w:type="gramEnd"/>
      <w:r w:rsidRPr="00FC27C2">
        <w:t>, and as a result, Freddie Mac is unable to lock the Coupon Rate before the Coupon Rate Expiration Date, Freddie Mac will not be liable for any damages whether direct or consequential.</w:t>
      </w:r>
    </w:p>
    <w:p w14:paraId="32F5C09E" w14:textId="77777777" w:rsidR="00CB3F47" w:rsidRPr="00FC27C2" w:rsidRDefault="00CB3F47" w:rsidP="00CB3F47">
      <w:pPr>
        <w:pStyle w:val="h1-body"/>
      </w:pPr>
    </w:p>
    <w:p w14:paraId="18EB28F8" w14:textId="241FDDA3" w:rsidR="00CB3F47" w:rsidRPr="005C521A" w:rsidRDefault="00CB3F47" w:rsidP="00CB3F47">
      <w:pPr>
        <w:pStyle w:val="h2-body"/>
      </w:pPr>
      <w:r w:rsidRPr="00FC27C2">
        <w:t xml:space="preserve">If the Seller fails to lock the Coupon Rate within the time required in the Letter of Commitment, the Seller must remit </w:t>
      </w:r>
      <w:r w:rsidR="00B852F7">
        <w:t xml:space="preserve">both </w:t>
      </w:r>
      <w:r w:rsidRPr="00FC27C2">
        <w:t xml:space="preserve">the application fee </w:t>
      </w:r>
      <w:r w:rsidR="00B852F7">
        <w:t xml:space="preserve">and the </w:t>
      </w:r>
      <w:r w:rsidR="004B719F">
        <w:t xml:space="preserve">rate-lock </w:t>
      </w:r>
      <w:r w:rsidR="00B852F7">
        <w:t xml:space="preserve">hedging fee </w:t>
      </w:r>
      <w:r w:rsidRPr="00FC27C2">
        <w:t>as set forth in Section 18SBL.6(e).</w:t>
      </w:r>
    </w:p>
    <w:p w14:paraId="108F7515" w14:textId="77777777" w:rsidR="00CB3F47" w:rsidRPr="00FC27C2" w:rsidRDefault="00CB3F47" w:rsidP="00CB3F47">
      <w:pPr>
        <w:pStyle w:val="h1-body"/>
      </w:pPr>
    </w:p>
    <w:p w14:paraId="6A8B68F0" w14:textId="3994547F" w:rsidR="00CB3F47" w:rsidRPr="00FC27C2" w:rsidRDefault="00CB3F47" w:rsidP="00CB3F47">
      <w:pPr>
        <w:pStyle w:val="Heading2"/>
      </w:pPr>
      <w:r w:rsidRPr="00FC27C2">
        <w:t>Contract Number and Mandatory Delivery Date (06/30/16)</w:t>
      </w:r>
    </w:p>
    <w:p w14:paraId="0145B5E1" w14:textId="0A7A60BC" w:rsidR="00CB3F47" w:rsidRPr="00FC27C2" w:rsidRDefault="00CB3F47" w:rsidP="00CB3F47">
      <w:pPr>
        <w:pStyle w:val="h2-body"/>
      </w:pPr>
      <w:r w:rsidRPr="005C521A">
        <w:t xml:space="preserve">Freddie Mac will provide the </w:t>
      </w:r>
      <w:r w:rsidRPr="00FC27C2">
        <w:t>Seller/Servicer with the contract number of the Purchase Contract (Contract Number) and the Mandatory Delivery Date of the SBL Mortgage via email following its receipt of the countersigned Letter of Commitment in accordance with Section 18SBL.6(c) (Contract Number Confirmation Email).  When it is issued, the Contract Number Confirmation Email is incorporated into and becomes a part of the Letter of Commitment. Seller/Servicer must upload the Contract Number Confirmation Email to DMS on the date of its receipt of the Contract Number Confirmation Email as part of the Letter of Commitment file.</w:t>
      </w:r>
    </w:p>
    <w:p w14:paraId="6A5F216C" w14:textId="77777777" w:rsidR="00CB3F47" w:rsidRPr="00FC27C2" w:rsidRDefault="00CB3F47" w:rsidP="00CB3F47">
      <w:pPr>
        <w:pStyle w:val="h1-body"/>
      </w:pPr>
    </w:p>
    <w:p w14:paraId="5E921E46" w14:textId="5BC98F66" w:rsidR="00CB3F47" w:rsidRPr="00FC27C2" w:rsidRDefault="00CB3F47" w:rsidP="00CB3F47">
      <w:pPr>
        <w:pStyle w:val="Heading2"/>
      </w:pPr>
      <w:r w:rsidRPr="00FC27C2">
        <w:t xml:space="preserve">Application fee </w:t>
      </w:r>
      <w:r w:rsidR="00B852F7">
        <w:t xml:space="preserve">and </w:t>
      </w:r>
      <w:r w:rsidR="00B02D6B">
        <w:t xml:space="preserve">rate-lock </w:t>
      </w:r>
      <w:r w:rsidR="00B852F7">
        <w:t xml:space="preserve">hedging fee </w:t>
      </w:r>
      <w:r w:rsidRPr="00FC27C2">
        <w:t>(</w:t>
      </w:r>
      <w:r w:rsidR="00B852F7">
        <w:t>__/__/2019</w:t>
      </w:r>
      <w:r w:rsidRPr="00FC27C2">
        <w:t>)</w:t>
      </w:r>
    </w:p>
    <w:p w14:paraId="26A05A45" w14:textId="5E8F3583" w:rsidR="00CB3F47" w:rsidRPr="00FC27C2" w:rsidRDefault="00CB3F47" w:rsidP="00CB3F47">
      <w:pPr>
        <w:pStyle w:val="h2-body"/>
      </w:pPr>
      <w:r w:rsidRPr="00FC27C2">
        <w:t>Upon the delivery of the full underwriting package</w:t>
      </w:r>
      <w:r w:rsidR="00B852F7">
        <w:t xml:space="preserve"> as specified in Section 18SBL.5(a)</w:t>
      </w:r>
      <w:r w:rsidRPr="00FC27C2">
        <w:t>, the nonrefundable application fee will be deemed earned by Freddie Mac</w:t>
      </w:r>
      <w:r w:rsidR="00B852F7">
        <w:t>. Upon the occurrence of any of the circumstances described in Section 18SBL.5(b)</w:t>
      </w:r>
      <w:r w:rsidR="00C11F25">
        <w:t xml:space="preserve"> and Freddie Mac’s </w:t>
      </w:r>
      <w:r w:rsidR="00C11F25">
        <w:lastRenderedPageBreak/>
        <w:t>determination that a rate-lock hedging fee is due,</w:t>
      </w:r>
      <w:r w:rsidR="00B852F7">
        <w:t xml:space="preserve"> the </w:t>
      </w:r>
      <w:r w:rsidR="004B719F">
        <w:t xml:space="preserve">rate-lock </w:t>
      </w:r>
      <w:r w:rsidR="00B852F7">
        <w:t xml:space="preserve">hedging fee will be deemed earned by Freddie Mac. Each of the application fee and the </w:t>
      </w:r>
      <w:r w:rsidR="004B719F">
        <w:t xml:space="preserve">rate-lock </w:t>
      </w:r>
      <w:r w:rsidR="00B852F7">
        <w:t>hedging fee (if applicable)</w:t>
      </w:r>
      <w:r w:rsidRPr="00FC27C2">
        <w:t xml:space="preserve"> will be payable by Seller by wire transfer to Freddie Mac as follows:</w:t>
      </w:r>
    </w:p>
    <w:p w14:paraId="70B3BFB0" w14:textId="77777777" w:rsidR="00CB3F47" w:rsidRPr="00FC27C2" w:rsidRDefault="00CB3F47" w:rsidP="00CB3F47">
      <w:pPr>
        <w:pStyle w:val="h2-body"/>
      </w:pPr>
    </w:p>
    <w:p w14:paraId="3ACDACBD" w14:textId="498E41F8" w:rsidR="00CB3F47" w:rsidRPr="00FC27C2" w:rsidRDefault="00CB3F47" w:rsidP="00CB3F47">
      <w:pPr>
        <w:pStyle w:val="h2-body"/>
        <w:numPr>
          <w:ilvl w:val="0"/>
          <w:numId w:val="8"/>
        </w:numPr>
        <w:ind w:left="2304"/>
      </w:pPr>
      <w:r w:rsidRPr="00FC27C2">
        <w:t xml:space="preserve">If the Seller locks the Coupon Rate as described above, Seller must remit the application fee </w:t>
      </w:r>
      <w:bookmarkStart w:id="0" w:name="_Hlk4679393"/>
      <w:r w:rsidRPr="00FC27C2">
        <w:t xml:space="preserve">by 2:00 p.m. Eastern time on the second Business Day following the Coupon Rate Lock.  </w:t>
      </w:r>
      <w:bookmarkEnd w:id="0"/>
    </w:p>
    <w:p w14:paraId="7F68946A" w14:textId="77777777" w:rsidR="00CB3F47" w:rsidRPr="00FC27C2" w:rsidRDefault="00CB3F47" w:rsidP="00CB3F47">
      <w:pPr>
        <w:pStyle w:val="h2-body"/>
        <w:ind w:left="1584"/>
      </w:pPr>
    </w:p>
    <w:p w14:paraId="0B791A67" w14:textId="3FF68D54" w:rsidR="00B852F7" w:rsidRDefault="00CB3F47" w:rsidP="00B852F7">
      <w:pPr>
        <w:pStyle w:val="h2-body"/>
        <w:numPr>
          <w:ilvl w:val="0"/>
          <w:numId w:val="8"/>
        </w:numPr>
        <w:ind w:left="2304"/>
      </w:pPr>
      <w:r w:rsidRPr="00FC27C2">
        <w:t>If Freddie Mac determines that it will not issue a Letter of Commitment for any reason</w:t>
      </w:r>
      <w:r w:rsidR="00B852F7">
        <w:t xml:space="preserve"> </w:t>
      </w:r>
      <w:r w:rsidR="00B852F7" w:rsidRPr="006F21EA">
        <w:rPr>
          <w:u w:val="single"/>
        </w:rPr>
        <w:t>not</w:t>
      </w:r>
      <w:r w:rsidR="00B852F7">
        <w:t xml:space="preserve"> specified in Section 18SBL.5(b)</w:t>
      </w:r>
      <w:r w:rsidRPr="00FC27C2">
        <w:t xml:space="preserve">, Seller must remit the application fee upon demand by Freddie Mac. </w:t>
      </w:r>
    </w:p>
    <w:p w14:paraId="709893EC" w14:textId="77777777" w:rsidR="00B852F7" w:rsidRDefault="00B852F7" w:rsidP="006F21EA">
      <w:pPr>
        <w:pStyle w:val="h2-body"/>
        <w:ind w:left="2304"/>
      </w:pPr>
    </w:p>
    <w:p w14:paraId="35FBDDB4" w14:textId="0B1A7090" w:rsidR="00B852F7" w:rsidRPr="00FC27C2" w:rsidRDefault="00B852F7">
      <w:pPr>
        <w:pStyle w:val="h2-body"/>
        <w:numPr>
          <w:ilvl w:val="0"/>
          <w:numId w:val="8"/>
        </w:numPr>
        <w:ind w:left="2304"/>
      </w:pPr>
      <w:r>
        <w:t xml:space="preserve">If Freddie Mac determines that it will not issue a Letter of Commitment for any reason specified in Section 18SBL.5(b), Seller must remit both the application fee and the </w:t>
      </w:r>
      <w:r w:rsidR="004B719F">
        <w:t xml:space="preserve">rate-lock </w:t>
      </w:r>
      <w:r>
        <w:t>hedging fee upon demand by Freddie Mac.</w:t>
      </w:r>
    </w:p>
    <w:p w14:paraId="69307ED3" w14:textId="77777777" w:rsidR="00CB3F47" w:rsidRPr="00FC27C2" w:rsidRDefault="00CB3F47" w:rsidP="00CB3F47">
      <w:pPr>
        <w:pStyle w:val="h2-body"/>
        <w:ind w:left="1584"/>
      </w:pPr>
    </w:p>
    <w:p w14:paraId="047E4F81" w14:textId="66CC09FA" w:rsidR="00CB3F47" w:rsidRPr="00FC27C2" w:rsidRDefault="00CB3F47" w:rsidP="00CB3F47">
      <w:pPr>
        <w:pStyle w:val="h2-body"/>
        <w:numPr>
          <w:ilvl w:val="0"/>
          <w:numId w:val="8"/>
        </w:numPr>
        <w:ind w:left="2304"/>
      </w:pPr>
      <w:r w:rsidRPr="00FC27C2">
        <w:t xml:space="preserve">If Freddie Mac issues a Letter of Commitment and Seller either fails to accept the Letter of Commitment or fails to lock the Coupon Rate within the time required in the Letter of Commitment, Seller must remit </w:t>
      </w:r>
      <w:r w:rsidR="00B852F7">
        <w:t xml:space="preserve">both </w:t>
      </w:r>
      <w:r w:rsidRPr="00FC27C2">
        <w:t xml:space="preserve">the application fee </w:t>
      </w:r>
      <w:r w:rsidR="00B852F7">
        <w:t xml:space="preserve">and the </w:t>
      </w:r>
      <w:r w:rsidR="00B02D6B">
        <w:t xml:space="preserve">rate-lock </w:t>
      </w:r>
      <w:r w:rsidR="00B852F7">
        <w:t xml:space="preserve">hedging fee </w:t>
      </w:r>
      <w:r w:rsidRPr="00FC27C2">
        <w:t xml:space="preserve">upon demand by Freddie Mac. </w:t>
      </w:r>
    </w:p>
    <w:p w14:paraId="7CBCBC16" w14:textId="77777777" w:rsidR="00CB3F47" w:rsidRPr="00FC27C2" w:rsidRDefault="00CB3F47" w:rsidP="00CB3F47">
      <w:pPr>
        <w:pStyle w:val="h2-body"/>
      </w:pPr>
    </w:p>
    <w:p w14:paraId="6F8888FB" w14:textId="77777777" w:rsidR="00CB3F47" w:rsidRPr="005C521A" w:rsidRDefault="00CB3F47" w:rsidP="00CB3F47">
      <w:pPr>
        <w:pStyle w:val="h2-body"/>
      </w:pPr>
      <w:r w:rsidRPr="00FC27C2">
        <w:t>The Seller must obtain wire transfer instructions from the Multifamily Small Balance Loan Team.</w:t>
      </w:r>
    </w:p>
    <w:p w14:paraId="63FC0216" w14:textId="77777777" w:rsidR="00CB3F47" w:rsidRPr="00FC27C2" w:rsidRDefault="00CB3F47" w:rsidP="00CB3F47">
      <w:pPr>
        <w:pStyle w:val="h2-body"/>
      </w:pPr>
    </w:p>
    <w:p w14:paraId="55E8FE67" w14:textId="77777777" w:rsidR="00CB3F47" w:rsidRPr="00FC27C2" w:rsidRDefault="00CB3F47" w:rsidP="00CB3F47">
      <w:pPr>
        <w:pStyle w:val="h2-body"/>
      </w:pPr>
      <w:r w:rsidRPr="00FC27C2">
        <w:t>The Seller must send the wire transfer to the attention of the Multifamily Cash Desk</w:t>
      </w:r>
      <w:r w:rsidRPr="005C521A">
        <w:t>. The wire transfer must reference the Property name, the Freddie Mac c</w:t>
      </w:r>
      <w:r w:rsidRPr="00FC27C2">
        <w:t>ontact person in Production or Underwriting, and the Freddie Mac loan number.</w:t>
      </w:r>
    </w:p>
    <w:p w14:paraId="66748B49" w14:textId="77777777" w:rsidR="00CB3F47" w:rsidRPr="00FC27C2" w:rsidRDefault="00CB3F47" w:rsidP="00CB3F47">
      <w:pPr>
        <w:pStyle w:val="h1-body"/>
      </w:pPr>
    </w:p>
    <w:p w14:paraId="20104F81" w14:textId="1FD91083" w:rsidR="00CB3F47" w:rsidRPr="00FC27C2" w:rsidRDefault="00CB3F47" w:rsidP="00CB3F47">
      <w:pPr>
        <w:pStyle w:val="Heading1"/>
      </w:pPr>
      <w:r w:rsidRPr="00FC27C2">
        <w:t>Standard delivery—final delivery (09/01/16)</w:t>
      </w:r>
    </w:p>
    <w:p w14:paraId="2CC6D57E" w14:textId="77777777" w:rsidR="00CB3F47" w:rsidRPr="00FC27C2" w:rsidRDefault="00CB3F47" w:rsidP="00CB3F47">
      <w:pPr>
        <w:pStyle w:val="h1-body"/>
      </w:pPr>
      <w:r w:rsidRPr="00FC27C2">
        <w:t xml:space="preserve">At or before noon Eastern time on the Mandatory Delivery Date, the Seller/Servicer must deliver to Freddie Mac </w:t>
      </w:r>
      <w:proofErr w:type="gramStart"/>
      <w:r w:rsidRPr="00FC27C2">
        <w:t>all of</w:t>
      </w:r>
      <w:proofErr w:type="gramEnd"/>
      <w:r w:rsidRPr="00FC27C2">
        <w:t xml:space="preserve"> the documents listed in the Final Delivery Tables of Contents – SBL, found on FreddieMac.com. The Seller/Servicer must comply with the requirements for final delivery provided in Chapter 32 and the requirements in the SBL Final Delivery Instructions, also found on FreddieMac.com.</w:t>
      </w:r>
    </w:p>
    <w:p w14:paraId="62F8FD24" w14:textId="77777777" w:rsidR="00CB3F47" w:rsidRPr="00FC27C2" w:rsidRDefault="00CB3F47" w:rsidP="00CB3F47">
      <w:pPr>
        <w:pStyle w:val="h1-body"/>
      </w:pPr>
    </w:p>
    <w:p w14:paraId="05143B07" w14:textId="40EB8196" w:rsidR="00CB3F47" w:rsidRPr="00FC27C2" w:rsidRDefault="00CB3F47" w:rsidP="00CB3F47">
      <w:pPr>
        <w:pStyle w:val="Heading1"/>
      </w:pPr>
      <w:r w:rsidRPr="00FC27C2">
        <w:lastRenderedPageBreak/>
        <w:t>Standard delivery—funding (09/01/16)</w:t>
      </w:r>
    </w:p>
    <w:p w14:paraId="74293310" w14:textId="77777777" w:rsidR="00CB3F47" w:rsidRPr="00FC27C2" w:rsidRDefault="00CB3F47" w:rsidP="00CB3F47">
      <w:pPr>
        <w:pStyle w:val="h1-body"/>
      </w:pPr>
      <w:r w:rsidRPr="00FC27C2">
        <w:t>After final delivery of the SBL Mortgage, Freddie Mac will review the documentation and set the Freddie Mac Funding Date. See Chapter 32 for provisions relating to funding.</w:t>
      </w:r>
    </w:p>
    <w:p w14:paraId="6B98DD81" w14:textId="77777777" w:rsidR="00CB3F47" w:rsidRPr="00FC27C2" w:rsidRDefault="00CB3F47" w:rsidP="00CB3F47">
      <w:pPr>
        <w:pStyle w:val="h1-body"/>
      </w:pPr>
    </w:p>
    <w:p w14:paraId="62767EE5" w14:textId="655B25E3" w:rsidR="00CB3F47" w:rsidRPr="00FC27C2" w:rsidRDefault="00CB3F47" w:rsidP="00CB3F47">
      <w:pPr>
        <w:pStyle w:val="Heading1"/>
      </w:pPr>
      <w:r w:rsidRPr="00FC27C2">
        <w:t>Standard delivery – late delivery; non-delivery</w:t>
      </w:r>
    </w:p>
    <w:p w14:paraId="76EEF9B8" w14:textId="77777777" w:rsidR="00CB3F47" w:rsidRPr="00FC27C2" w:rsidRDefault="00CB3F47" w:rsidP="00CB3F47">
      <w:pPr>
        <w:pStyle w:val="Heading2"/>
      </w:pPr>
      <w:r w:rsidRPr="00FC27C2">
        <w:t>Late delivery (06/30/16)</w:t>
      </w:r>
    </w:p>
    <w:p w14:paraId="48EF0293" w14:textId="39787B50" w:rsidR="00CB3F47" w:rsidRPr="00FC27C2" w:rsidRDefault="00CB3F47" w:rsidP="00CB3F47">
      <w:pPr>
        <w:pStyle w:val="h2-body"/>
      </w:pPr>
      <w:r w:rsidRPr="005C521A">
        <w:t>For</w:t>
      </w:r>
      <w:r w:rsidRPr="00FC27C2">
        <w:t xml:space="preserve"> SBL Mortgages delivered or to be delivered under the standard delivery option, Freddie Mac may, in its discretion, treat either of the following situations as a late delivery of an SBL Mortgage:</w:t>
      </w:r>
      <w:r>
        <w:br/>
      </w:r>
    </w:p>
    <w:p w14:paraId="1442AFA0" w14:textId="5E1F897F" w:rsidR="00CB3F47" w:rsidRPr="00FC27C2" w:rsidRDefault="00CB3F47" w:rsidP="00CB3F47">
      <w:pPr>
        <w:pStyle w:val="h2-body"/>
        <w:numPr>
          <w:ilvl w:val="0"/>
          <w:numId w:val="9"/>
        </w:numPr>
      </w:pPr>
      <w:r w:rsidRPr="00FC27C2">
        <w:t>The Seller/Servicer fails to deliver the Final Delivery Package to Freddie Mac, including sending an email to mf_purchase_boarding_mgrs@freddiemac.com notifying Multifamily Purchase</w:t>
      </w:r>
      <w:r w:rsidRPr="005C521A">
        <w:t xml:space="preserve"> of the delivery of the Electronic Delivery Package, at or before</w:t>
      </w:r>
      <w:r w:rsidRPr="00FC27C2">
        <w:t xml:space="preserve"> noon Eastern time on the Mandatory Delivery Date.</w:t>
      </w:r>
      <w:r>
        <w:br/>
      </w:r>
    </w:p>
    <w:p w14:paraId="5D584804" w14:textId="77777777" w:rsidR="00CB3F47" w:rsidRPr="00FC27C2" w:rsidRDefault="00CB3F47" w:rsidP="00CB3F47">
      <w:pPr>
        <w:pStyle w:val="h2-body"/>
        <w:numPr>
          <w:ilvl w:val="0"/>
          <w:numId w:val="9"/>
        </w:numPr>
      </w:pPr>
      <w:r w:rsidRPr="00FC27C2">
        <w:t>The Final Delivery Package, as delivered, fails to meet Freddie Mac’s requirements as set forth in the Purchase and Servicing Documents.</w:t>
      </w:r>
    </w:p>
    <w:p w14:paraId="1ECFB8D1" w14:textId="77777777" w:rsidR="00CB3F47" w:rsidRPr="00FC27C2" w:rsidRDefault="00CB3F47" w:rsidP="00CB3F47">
      <w:pPr>
        <w:pStyle w:val="h1-body"/>
      </w:pPr>
    </w:p>
    <w:p w14:paraId="21F1EAF7" w14:textId="77777777" w:rsidR="00CB3F47" w:rsidRPr="00FC27C2" w:rsidRDefault="00CB3F47" w:rsidP="00CB3F47">
      <w:pPr>
        <w:pStyle w:val="Heading2"/>
      </w:pPr>
      <w:r w:rsidRPr="00FC27C2">
        <w:t>Remedies for late delivery (06/30/16)</w:t>
      </w:r>
    </w:p>
    <w:p w14:paraId="58CFD2AE" w14:textId="52558542" w:rsidR="00CB3F47" w:rsidRPr="00FC27C2" w:rsidRDefault="00CB3F47" w:rsidP="00CB3F47">
      <w:pPr>
        <w:pStyle w:val="h2-body"/>
      </w:pPr>
      <w:r w:rsidRPr="005C521A">
        <w:t>If Freddie Mac determines tha</w:t>
      </w:r>
      <w:r w:rsidRPr="00FC27C2">
        <w:t>t there has been a late delivery of an SBL Mortgage, Freddie Mac may take whatever action or actions it deems appropriate to protect its interests and enforce its rights, including</w:t>
      </w:r>
      <w:r>
        <w:br/>
      </w:r>
    </w:p>
    <w:p w14:paraId="37D24BF5" w14:textId="35E6236C" w:rsidR="00CB3F47" w:rsidRPr="00FC27C2" w:rsidRDefault="00CB3F47" w:rsidP="00CB3F47">
      <w:pPr>
        <w:pStyle w:val="h2-body"/>
        <w:numPr>
          <w:ilvl w:val="0"/>
          <w:numId w:val="10"/>
        </w:numPr>
      </w:pPr>
      <w:r w:rsidRPr="00FC27C2">
        <w:t>Terminating the Purchase Contract (Freddie Mac will elect not to purchase the Mortgage)</w:t>
      </w:r>
      <w:r>
        <w:br/>
      </w:r>
    </w:p>
    <w:p w14:paraId="19B8BB51" w14:textId="58E9B608" w:rsidR="00CB3F47" w:rsidRPr="00FC27C2" w:rsidRDefault="00CB3F47" w:rsidP="00CB3F47">
      <w:pPr>
        <w:pStyle w:val="h2-body"/>
        <w:numPr>
          <w:ilvl w:val="0"/>
          <w:numId w:val="10"/>
        </w:numPr>
      </w:pPr>
      <w:r w:rsidRPr="00FC27C2">
        <w:t>Charging the Seller/Servicer a late delivery extension fee</w:t>
      </w:r>
      <w:r>
        <w:br/>
      </w:r>
    </w:p>
    <w:p w14:paraId="5EF6C693" w14:textId="77777777" w:rsidR="00CB3F47" w:rsidRPr="00FC27C2" w:rsidRDefault="00CB3F47" w:rsidP="00CB3F47">
      <w:pPr>
        <w:pStyle w:val="h2-body"/>
        <w:numPr>
          <w:ilvl w:val="0"/>
          <w:numId w:val="10"/>
        </w:numPr>
      </w:pPr>
      <w:r w:rsidRPr="00FC27C2">
        <w:t>Taking any other action set forth in Chapter 4</w:t>
      </w:r>
    </w:p>
    <w:p w14:paraId="3C2CDF6D" w14:textId="2C7BF572" w:rsidR="00CB3F47" w:rsidRPr="00FC27C2" w:rsidRDefault="00CB3F47" w:rsidP="00CB3F47">
      <w:pPr>
        <w:pStyle w:val="h1-body"/>
      </w:pPr>
    </w:p>
    <w:p w14:paraId="20843343" w14:textId="77777777" w:rsidR="00CB3F47" w:rsidRPr="00FC27C2" w:rsidRDefault="00CB3F47" w:rsidP="00CB3F47">
      <w:pPr>
        <w:pStyle w:val="Heading2"/>
      </w:pPr>
      <w:proofErr w:type="spellStart"/>
      <w:r w:rsidRPr="00FC27C2">
        <w:lastRenderedPageBreak/>
        <w:t>Nondelivery</w:t>
      </w:r>
      <w:proofErr w:type="spellEnd"/>
      <w:r w:rsidRPr="00FC27C2">
        <w:t xml:space="preserve"> (06/30/16)</w:t>
      </w:r>
    </w:p>
    <w:p w14:paraId="0AAF62F1" w14:textId="77777777" w:rsidR="00CB3F47" w:rsidRPr="00FC27C2" w:rsidRDefault="00CB3F47" w:rsidP="00CB3F47">
      <w:pPr>
        <w:pStyle w:val="h2-body"/>
      </w:pPr>
      <w:r w:rsidRPr="005C521A">
        <w:t>For</w:t>
      </w:r>
      <w:r w:rsidRPr="00FC27C2">
        <w:t xml:space="preserve"> SBL Mortgages delivered or to be delivered under the standard delivery option, Freddie Mac may, in its discretion, treat any of the following situations as a </w:t>
      </w:r>
      <w:proofErr w:type="spellStart"/>
      <w:r w:rsidRPr="00FC27C2">
        <w:t>nondelivery</w:t>
      </w:r>
      <w:proofErr w:type="spellEnd"/>
      <w:r w:rsidRPr="00FC27C2">
        <w:t xml:space="preserve"> of an SBL Mortgage:</w:t>
      </w:r>
    </w:p>
    <w:p w14:paraId="0573639D" w14:textId="77777777" w:rsidR="00CB3F47" w:rsidRPr="00FC27C2" w:rsidRDefault="00CB3F47" w:rsidP="00CB3F47">
      <w:pPr>
        <w:pStyle w:val="h2-body"/>
      </w:pPr>
    </w:p>
    <w:p w14:paraId="36C12A05" w14:textId="2A83D8CD" w:rsidR="00CB3F47" w:rsidRPr="00FC27C2" w:rsidRDefault="00CB3F47" w:rsidP="00CB3F47">
      <w:pPr>
        <w:pStyle w:val="h2-body"/>
        <w:numPr>
          <w:ilvl w:val="0"/>
          <w:numId w:val="12"/>
        </w:numPr>
        <w:ind w:left="2304"/>
      </w:pPr>
      <w:r w:rsidRPr="00FC27C2">
        <w:t>The Seller/Servicer fails to deliver the Final Delivery Package to Freddie Mac, including sending an email to mf_purchase_boarding_mgrs@freddiemac.com notifying Multifamily Purchase</w:t>
      </w:r>
      <w:r w:rsidRPr="005C521A">
        <w:t xml:space="preserve"> of the delivery of the Electronic Delivery Package, at or before noon Eastern time on the Mandatory Delivery Date</w:t>
      </w:r>
      <w:r w:rsidRPr="00FC27C2">
        <w:t>.</w:t>
      </w:r>
    </w:p>
    <w:p w14:paraId="2B75CD32" w14:textId="27505E40" w:rsidR="00CB3F47" w:rsidRPr="00FC27C2" w:rsidRDefault="00CB3F47" w:rsidP="00CB3F47">
      <w:pPr>
        <w:pStyle w:val="h2-body"/>
        <w:ind w:left="1584" w:firstLine="80"/>
      </w:pPr>
    </w:p>
    <w:p w14:paraId="614DC6A9" w14:textId="1F2107C4" w:rsidR="00CB3F47" w:rsidRPr="00FC27C2" w:rsidRDefault="00CB3F47" w:rsidP="00CB3F47">
      <w:pPr>
        <w:pStyle w:val="h2-body"/>
        <w:numPr>
          <w:ilvl w:val="0"/>
          <w:numId w:val="12"/>
        </w:numPr>
        <w:ind w:left="2304"/>
      </w:pPr>
      <w:r w:rsidRPr="00FC27C2">
        <w:t>Either the SBL Mortgage or the Final Delivery Package, as delivered, fails to meet Freddie Mac’s requirements as set forth in the Purchase and Servicing Documents.</w:t>
      </w:r>
    </w:p>
    <w:p w14:paraId="7FCB36E1" w14:textId="77777777" w:rsidR="00CB3F47" w:rsidRPr="00FC27C2" w:rsidRDefault="00CB3F47" w:rsidP="00CB3F47">
      <w:pPr>
        <w:pStyle w:val="h1-body"/>
      </w:pPr>
      <w:r w:rsidRPr="00FC27C2">
        <w:t xml:space="preserve"> </w:t>
      </w:r>
    </w:p>
    <w:p w14:paraId="32054EC0" w14:textId="77777777" w:rsidR="00CB3F47" w:rsidRPr="00FC27C2" w:rsidRDefault="00CB3F47" w:rsidP="00CB3F47">
      <w:pPr>
        <w:pStyle w:val="Heading2"/>
      </w:pPr>
      <w:r w:rsidRPr="00FC27C2">
        <w:t xml:space="preserve">Remedies for </w:t>
      </w:r>
      <w:proofErr w:type="spellStart"/>
      <w:r w:rsidRPr="00FC27C2">
        <w:t>nondelivery</w:t>
      </w:r>
      <w:proofErr w:type="spellEnd"/>
      <w:r w:rsidRPr="00FC27C2">
        <w:t xml:space="preserve"> (06/30/16)</w:t>
      </w:r>
    </w:p>
    <w:p w14:paraId="10AADCB7" w14:textId="1327DEE9" w:rsidR="00CB3F47" w:rsidRPr="00FC27C2" w:rsidRDefault="00CB3F47" w:rsidP="00CB3F47">
      <w:pPr>
        <w:pStyle w:val="h2-body"/>
      </w:pPr>
      <w:r w:rsidRPr="005C521A">
        <w:t xml:space="preserve">If Freddie Mac determines that there has been a </w:t>
      </w:r>
      <w:proofErr w:type="spellStart"/>
      <w:r w:rsidRPr="005C521A">
        <w:t>nondelivery</w:t>
      </w:r>
      <w:proofErr w:type="spellEnd"/>
      <w:r w:rsidRPr="005C521A">
        <w:t xml:space="preserve"> of a</w:t>
      </w:r>
      <w:r w:rsidRPr="00FC27C2">
        <w:t>n SBL Mortgage, Freddie Mac may take whatever action or actions it deems appropriate to protect its interests and enforce its rights, including</w:t>
      </w:r>
      <w:r>
        <w:br/>
      </w:r>
    </w:p>
    <w:p w14:paraId="05E21E78" w14:textId="7B9F42C5" w:rsidR="00CB3F47" w:rsidRPr="00FC27C2" w:rsidRDefault="00CB3F47" w:rsidP="00CB3F47">
      <w:pPr>
        <w:pStyle w:val="h2-body"/>
        <w:numPr>
          <w:ilvl w:val="0"/>
          <w:numId w:val="13"/>
        </w:numPr>
      </w:pPr>
      <w:r w:rsidRPr="00FC27C2">
        <w:t>Terminating the Purchase Contract (Freddie Mac will elect not to purchase the Mortgage.)</w:t>
      </w:r>
      <w:r>
        <w:br/>
      </w:r>
    </w:p>
    <w:p w14:paraId="4EB787BB" w14:textId="27D16D43" w:rsidR="00CB3F47" w:rsidRPr="00FC27C2" w:rsidRDefault="00CB3F47" w:rsidP="00CB3F47">
      <w:pPr>
        <w:pStyle w:val="h2-body"/>
        <w:numPr>
          <w:ilvl w:val="0"/>
          <w:numId w:val="13"/>
        </w:numPr>
      </w:pPr>
      <w:r w:rsidRPr="00FC27C2">
        <w:t>Charging the Seller/Servicer a breakage fee</w:t>
      </w:r>
      <w:r>
        <w:br/>
      </w:r>
    </w:p>
    <w:p w14:paraId="71DEFC3A" w14:textId="77777777" w:rsidR="00CB3F47" w:rsidRPr="00FC27C2" w:rsidRDefault="00CB3F47" w:rsidP="00CB3F47">
      <w:pPr>
        <w:pStyle w:val="h2-body"/>
        <w:numPr>
          <w:ilvl w:val="0"/>
          <w:numId w:val="13"/>
        </w:numPr>
      </w:pPr>
      <w:r w:rsidRPr="00FC27C2">
        <w:t>Taking any other action set forth in Chapter 4</w:t>
      </w:r>
    </w:p>
    <w:p w14:paraId="127F4179" w14:textId="77777777" w:rsidR="00CB3F47" w:rsidRPr="00FC27C2" w:rsidRDefault="00CB3F47" w:rsidP="00CB3F47">
      <w:pPr>
        <w:pStyle w:val="h1-body"/>
      </w:pPr>
    </w:p>
    <w:p w14:paraId="36FF70EF" w14:textId="77777777" w:rsidR="00CB3F47" w:rsidRPr="00FC27C2" w:rsidRDefault="00CB3F47" w:rsidP="00CB3F47">
      <w:pPr>
        <w:pStyle w:val="Heading2"/>
      </w:pPr>
      <w:r w:rsidRPr="00FC27C2">
        <w:t>Calculation of the breakage fee (06/30/16)</w:t>
      </w:r>
    </w:p>
    <w:p w14:paraId="009C6096" w14:textId="393524BD" w:rsidR="00CB3F47" w:rsidRDefault="00CB3F47" w:rsidP="00CB3F47">
      <w:pPr>
        <w:pStyle w:val="h2-body"/>
      </w:pPr>
      <w:r w:rsidRPr="005C521A">
        <w:t>As liquidated damages for the non</w:t>
      </w:r>
      <w:bookmarkStart w:id="1" w:name="_GoBack"/>
      <w:bookmarkEnd w:id="1"/>
      <w:r w:rsidR="00D14636">
        <w:t>-</w:t>
      </w:r>
      <w:r w:rsidRPr="005C521A">
        <w:t>delivery of a</w:t>
      </w:r>
      <w:r w:rsidRPr="00FC27C2">
        <w:t>n SBL Mortgage, Freddie Mac will charge the Seller/Servicer a breakage fee equal to two percent of the proposed SBL Mortgage amount.  Freddie Mac’s collection of the breakage fee will not prevent it from exercising any other remedies set forth in the Guide.</w:t>
      </w:r>
    </w:p>
    <w:p w14:paraId="186B6672" w14:textId="77777777" w:rsidR="00CB3F47" w:rsidRDefault="00CB3F47" w:rsidP="00CB3F47">
      <w:pPr>
        <w:pStyle w:val="h2-body"/>
      </w:pPr>
    </w:p>
    <w:p w14:paraId="70746FF5" w14:textId="3DF7FC92" w:rsidR="00CB3F47" w:rsidRDefault="00CB3F47" w:rsidP="00CB3F47">
      <w:pPr>
        <w:pStyle w:val="Heading1"/>
      </w:pPr>
      <w:r w:rsidRPr="00FC27C2">
        <w:lastRenderedPageBreak/>
        <w:t>Reserved</w:t>
      </w:r>
    </w:p>
    <w:p w14:paraId="6DA13C89" w14:textId="5D9C4941" w:rsidR="00CB3F47" w:rsidRDefault="00CB3F47" w:rsidP="00CB3F47">
      <w:pPr>
        <w:pStyle w:val="Heading1"/>
      </w:pPr>
      <w:r w:rsidRPr="00FC27C2">
        <w:t>Reserved</w:t>
      </w:r>
    </w:p>
    <w:p w14:paraId="4FB33B9F" w14:textId="2A032A04" w:rsidR="00CB3F47" w:rsidRDefault="00CB3F47" w:rsidP="00CB3F47">
      <w:pPr>
        <w:pStyle w:val="Heading1"/>
      </w:pPr>
      <w:r w:rsidRPr="00FC27C2">
        <w:t>Reserved</w:t>
      </w:r>
    </w:p>
    <w:p w14:paraId="566F9A77" w14:textId="1285BE38" w:rsidR="00CB3F47" w:rsidRDefault="00CB3F47" w:rsidP="00CB3F47">
      <w:pPr>
        <w:pStyle w:val="Heading1"/>
      </w:pPr>
      <w:r w:rsidRPr="00FC27C2">
        <w:t>Reserved</w:t>
      </w:r>
    </w:p>
    <w:p w14:paraId="2FDF2EE8" w14:textId="2017357A" w:rsidR="00CB3F47" w:rsidRDefault="00CB3F47" w:rsidP="00CB3F47">
      <w:pPr>
        <w:pStyle w:val="Heading1"/>
      </w:pPr>
      <w:r w:rsidRPr="00FC27C2">
        <w:t>Reserved</w:t>
      </w:r>
    </w:p>
    <w:p w14:paraId="356B4FD4" w14:textId="70E24EEE" w:rsidR="00CB3F47" w:rsidRDefault="00CB3F47" w:rsidP="00CB3F47">
      <w:pPr>
        <w:pStyle w:val="Heading1"/>
      </w:pPr>
      <w:r w:rsidRPr="00FC27C2">
        <w:t>Reserved</w:t>
      </w:r>
    </w:p>
    <w:p w14:paraId="34FAF546" w14:textId="1AA05F2A" w:rsidR="00CB3F47" w:rsidRDefault="00CB3F47" w:rsidP="00CB3F47">
      <w:pPr>
        <w:pStyle w:val="Heading1"/>
      </w:pPr>
      <w:r w:rsidRPr="00FC27C2">
        <w:t>Reserved</w:t>
      </w:r>
    </w:p>
    <w:p w14:paraId="156F94D8" w14:textId="74ADD9FD" w:rsidR="00CB3F47" w:rsidRDefault="00CB3F47" w:rsidP="00CB3F47">
      <w:pPr>
        <w:pStyle w:val="Heading1"/>
      </w:pPr>
      <w:r w:rsidRPr="00FC27C2">
        <w:t>Reserved</w:t>
      </w:r>
    </w:p>
    <w:p w14:paraId="4C90AF9A" w14:textId="65AD87FA" w:rsidR="00CB3F47" w:rsidRDefault="00CB3F47" w:rsidP="00CB3F47">
      <w:pPr>
        <w:pStyle w:val="Heading1"/>
      </w:pPr>
      <w:r w:rsidRPr="00FC27C2">
        <w:t>Reserved</w:t>
      </w:r>
    </w:p>
    <w:p w14:paraId="4D466447" w14:textId="2081C532" w:rsidR="00CB3F47" w:rsidRDefault="00CB3F47" w:rsidP="00CB3F47">
      <w:pPr>
        <w:pStyle w:val="Heading1"/>
      </w:pPr>
      <w:r w:rsidRPr="00FC27C2">
        <w:t>Reserved</w:t>
      </w:r>
    </w:p>
    <w:p w14:paraId="2D76DAFE" w14:textId="43BC1538" w:rsidR="00CB3F47" w:rsidRDefault="00CB3F47" w:rsidP="00CB3F47">
      <w:pPr>
        <w:pStyle w:val="Heading1"/>
      </w:pPr>
      <w:r w:rsidRPr="00FC27C2">
        <w:t>Reserved</w:t>
      </w:r>
    </w:p>
    <w:p w14:paraId="2186E21B" w14:textId="4E9CFAB4" w:rsidR="00CB3F47" w:rsidRDefault="00CB3F47" w:rsidP="00CB3F47">
      <w:pPr>
        <w:pStyle w:val="Heading1"/>
      </w:pPr>
      <w:r w:rsidRPr="00FC27C2">
        <w:t>Reserved</w:t>
      </w:r>
    </w:p>
    <w:p w14:paraId="774A9D82" w14:textId="0489876E" w:rsidR="00CB3F47" w:rsidRDefault="00CB3F47" w:rsidP="00CB3F47">
      <w:pPr>
        <w:pStyle w:val="Heading1"/>
      </w:pPr>
      <w:r w:rsidRPr="00FC27C2">
        <w:t>Reserved</w:t>
      </w:r>
    </w:p>
    <w:p w14:paraId="2B1D3C89" w14:textId="1BA828BE" w:rsidR="00CB3F47" w:rsidRPr="00CB3F47" w:rsidRDefault="00CB3F47" w:rsidP="00CB3F47">
      <w:pPr>
        <w:pStyle w:val="Heading1"/>
      </w:pPr>
      <w:r w:rsidRPr="00FC27C2">
        <w:t>Reserved</w:t>
      </w:r>
    </w:p>
    <w:p w14:paraId="6B45D11F" w14:textId="77777777" w:rsidR="00CB3F47" w:rsidRPr="00FC27C2" w:rsidRDefault="00CB3F47" w:rsidP="00CB3F47">
      <w:pPr>
        <w:pStyle w:val="h2-body"/>
      </w:pPr>
    </w:p>
    <w:p w14:paraId="72D31E79" w14:textId="1D2FB3C1" w:rsidR="00CB3F47" w:rsidRPr="00FC27C2" w:rsidRDefault="00CB3F47" w:rsidP="00CB3F47">
      <w:pPr>
        <w:pStyle w:val="Heading1"/>
      </w:pPr>
      <w:r w:rsidRPr="00FC27C2">
        <w:t>Accuracy of information (10/12/17)</w:t>
      </w:r>
    </w:p>
    <w:p w14:paraId="28450F5B" w14:textId="77777777" w:rsidR="00CB3F47" w:rsidRPr="00FC27C2" w:rsidRDefault="00CB3F47" w:rsidP="00CB3F47">
      <w:pPr>
        <w:pStyle w:val="h1-body"/>
      </w:pPr>
      <w:r w:rsidRPr="00FC27C2">
        <w:t>Freddie Mac is relying upon the truth and accuracy of all representations, warranties, statements, certificates and other information furnished to Freddie Mac by the Seller/Servicer in connection with the Letter of Commitment and the SBL Mortgage regardless of whether any of such documents were prepared by the Seller/Servicer or whether the Seller/Servicer knew or had reason to know the accuracy of their contents.</w:t>
      </w:r>
    </w:p>
    <w:p w14:paraId="7C6AD239" w14:textId="77777777" w:rsidR="00CB3F47" w:rsidRPr="00FC27C2" w:rsidRDefault="00CB3F47" w:rsidP="00CB3F47">
      <w:pPr>
        <w:pStyle w:val="h1-body"/>
      </w:pPr>
    </w:p>
    <w:p w14:paraId="290FCF71" w14:textId="4A0FA577" w:rsidR="00CB3F47" w:rsidRPr="00FC27C2" w:rsidRDefault="00CB3F47" w:rsidP="00CB3F47">
      <w:pPr>
        <w:pStyle w:val="Heading1"/>
      </w:pPr>
      <w:r w:rsidRPr="00FC27C2">
        <w:lastRenderedPageBreak/>
        <w:t>SBL Purchase Product Loan Documents (SBL Loan Documents) (10/12/17)</w:t>
      </w:r>
    </w:p>
    <w:p w14:paraId="5E95E9E8" w14:textId="77777777" w:rsidR="00CB3F47" w:rsidRPr="00FC27C2" w:rsidRDefault="00CB3F47" w:rsidP="00CB3F47">
      <w:pPr>
        <w:pStyle w:val="h1-body"/>
      </w:pPr>
      <w:r w:rsidRPr="005C521A">
        <w:t>The loan execution documents for the S</w:t>
      </w:r>
      <w:r w:rsidRPr="00FC27C2">
        <w:t>BL Purchase Product (“SBL Loan Documents”) can be found on FreddieMac.com; those not found on FreddieMac.com will be included in the Letter of Commitment for the applicable SBL Mortgage.</w:t>
      </w:r>
    </w:p>
    <w:p w14:paraId="383B4A8A" w14:textId="77777777" w:rsidR="00CB3F47" w:rsidRPr="00FC27C2" w:rsidRDefault="00CB3F47" w:rsidP="00CB3F47">
      <w:pPr>
        <w:pStyle w:val="h1-body"/>
      </w:pPr>
    </w:p>
    <w:p w14:paraId="55A76121" w14:textId="554BA277" w:rsidR="00CB3F47" w:rsidRPr="00FC27C2" w:rsidRDefault="00CB3F47" w:rsidP="00CB3F47">
      <w:pPr>
        <w:pStyle w:val="Heading1"/>
      </w:pPr>
      <w:r w:rsidRPr="00FC27C2">
        <w:t xml:space="preserve">Maryland or Florida – Originating SBL Mortgages by Assignment, Amendment and Restatement; New York – Originating SBL Mortgages by Consolidation, Extension and Modification </w:t>
      </w:r>
      <w:proofErr w:type="gramStart"/>
      <w:r w:rsidRPr="00FC27C2">
        <w:t>Agreement  (</w:t>
      </w:r>
      <w:proofErr w:type="gramEnd"/>
      <w:r w:rsidRPr="00FC27C2">
        <w:t>06/30/16)</w:t>
      </w:r>
    </w:p>
    <w:p w14:paraId="11461664" w14:textId="77777777" w:rsidR="00CB3F47" w:rsidRPr="005C521A" w:rsidRDefault="00CB3F47" w:rsidP="00CB3F47">
      <w:pPr>
        <w:pStyle w:val="h1-body"/>
      </w:pPr>
    </w:p>
    <w:p w14:paraId="48D5C747" w14:textId="77777777" w:rsidR="00CB3F47" w:rsidRPr="00FC27C2" w:rsidRDefault="00CB3F47" w:rsidP="00CB3F47">
      <w:pPr>
        <w:pStyle w:val="h1-body"/>
        <w:numPr>
          <w:ilvl w:val="0"/>
          <w:numId w:val="14"/>
        </w:numPr>
        <w:ind w:left="1800"/>
      </w:pPr>
      <w:r w:rsidRPr="00FC27C2">
        <w:t xml:space="preserve">If the Property </w:t>
      </w:r>
      <w:proofErr w:type="gramStart"/>
      <w:r w:rsidRPr="00FC27C2">
        <w:t>is located in</w:t>
      </w:r>
      <w:proofErr w:type="gramEnd"/>
      <w:r w:rsidRPr="00FC27C2">
        <w:t xml:space="preserve"> Maryland or Florida, the Seller/Servicer may originate the SBL Mortgage by purchasing an existing mortgage from the current holder of that mortgage (MD/FL Existing Mortgage), and then modifying, extending, renewing, amending and/or consolidating the MD/FL Existing Mortgage (MD/FL Amended and Restated Mortgage).</w:t>
      </w:r>
    </w:p>
    <w:p w14:paraId="4C4ADD89" w14:textId="77777777" w:rsidR="00CB3F47" w:rsidRPr="00FC27C2" w:rsidRDefault="00CB3F47" w:rsidP="00CB3F47">
      <w:pPr>
        <w:pStyle w:val="h1-body"/>
        <w:ind w:left="1080"/>
      </w:pPr>
    </w:p>
    <w:p w14:paraId="6F21BC70" w14:textId="77777777" w:rsidR="00CB3F47" w:rsidRPr="00FC27C2" w:rsidRDefault="00CB3F47" w:rsidP="00CB3F47">
      <w:pPr>
        <w:pStyle w:val="h1-body"/>
        <w:numPr>
          <w:ilvl w:val="0"/>
          <w:numId w:val="14"/>
        </w:numPr>
        <w:ind w:left="1800"/>
      </w:pPr>
      <w:r w:rsidRPr="00FC27C2">
        <w:t xml:space="preserve">If the Property </w:t>
      </w:r>
      <w:proofErr w:type="gramStart"/>
      <w:r w:rsidRPr="00FC27C2">
        <w:t>is located in</w:t>
      </w:r>
      <w:proofErr w:type="gramEnd"/>
      <w:r w:rsidRPr="00FC27C2">
        <w:t xml:space="preserve"> New York, the Seller/Servicer may originate the SBL Mortgage by combining and then restating the rights, obligations, promises and agreements stated in existing mortgages secured by the Property (NY Existing Mortgages) by using a Consolidation, Extension and Modification Agreement (CEMA) (NY CEMA Mortgage).</w:t>
      </w:r>
    </w:p>
    <w:p w14:paraId="7C471590" w14:textId="77777777" w:rsidR="00CB3F47" w:rsidRPr="00FC27C2" w:rsidRDefault="00CB3F47" w:rsidP="00CB3F47">
      <w:pPr>
        <w:pStyle w:val="h1-body"/>
        <w:ind w:left="1080"/>
      </w:pPr>
    </w:p>
    <w:p w14:paraId="4E131F56" w14:textId="77777777" w:rsidR="00CB3F47" w:rsidRPr="00FC27C2" w:rsidRDefault="00CB3F47" w:rsidP="00CB3F47">
      <w:pPr>
        <w:pStyle w:val="h1-body"/>
        <w:numPr>
          <w:ilvl w:val="0"/>
          <w:numId w:val="14"/>
        </w:numPr>
        <w:ind w:left="1800"/>
      </w:pPr>
      <w:r w:rsidRPr="00FC27C2">
        <w:t>The MD/FL Existing Mortgage and NY Existing Mortgages will be assigned to the Seller/Servicer in lieu of being discharged (Assignment). The Seller/Servicer may document the Assignment in the manner appropriate to local practice, except that if the Assignment is by Freddie Mac, then the note(s) for the MD/FL Existing Mortgage or NY Existing Mortgages will be endorsed by Freddie Mac to the Seller/Servicer without recourse or warranty, and the security instrument(s) for the MD/FL Existing Mortgage or NY Existing Mortgages will be assigned by Freddie Mac to the Seller/Servicer using the standard form of Freddie Mac Assignment of Security Instrument.</w:t>
      </w:r>
    </w:p>
    <w:p w14:paraId="4EA600FB" w14:textId="77777777" w:rsidR="00CB3F47" w:rsidRPr="00FC27C2" w:rsidRDefault="00CB3F47" w:rsidP="00CB3F47">
      <w:pPr>
        <w:pStyle w:val="h1-body"/>
        <w:ind w:left="1080"/>
      </w:pPr>
    </w:p>
    <w:p w14:paraId="518075C0" w14:textId="77777777" w:rsidR="00CB3F47" w:rsidRPr="00FC27C2" w:rsidRDefault="00CB3F47" w:rsidP="00CB3F47">
      <w:pPr>
        <w:pStyle w:val="h1-body"/>
        <w:numPr>
          <w:ilvl w:val="0"/>
          <w:numId w:val="14"/>
        </w:numPr>
        <w:ind w:left="1800"/>
      </w:pPr>
      <w:r w:rsidRPr="00FC27C2">
        <w:lastRenderedPageBreak/>
        <w:t xml:space="preserve">Specific delivery requirements for MD/FL Amended and Restated Mortgages and NY CEMA Mortgages are set forth in the SBL Final Delivery Instructions and SBL Tables of Contents. </w:t>
      </w:r>
    </w:p>
    <w:p w14:paraId="4832150D" w14:textId="77777777" w:rsidR="00CB3F47" w:rsidRPr="00FC27C2" w:rsidRDefault="00CB3F47" w:rsidP="00CB3F47">
      <w:pPr>
        <w:pStyle w:val="h1-body"/>
        <w:ind w:left="1080"/>
      </w:pPr>
    </w:p>
    <w:p w14:paraId="445E6672" w14:textId="51A4A012" w:rsidR="00CB3F47" w:rsidRPr="00FC27C2" w:rsidRDefault="00CB3F47" w:rsidP="00CB3F47">
      <w:pPr>
        <w:pStyle w:val="h1-body"/>
        <w:numPr>
          <w:ilvl w:val="0"/>
          <w:numId w:val="14"/>
        </w:numPr>
        <w:ind w:left="1800"/>
      </w:pPr>
      <w:r w:rsidRPr="00FC27C2">
        <w:t xml:space="preserve">If Freddie Mac holds the MD/FL Existing Mortgage or the NY Existing Mortgages, the Seller/Servicer must prepare and deliver to the Freddie Mac Multifamily Loan Accounting Payoff Team (mfopsloanacctpayoffs@freddiemac.com) at least five days before the scheduled origination date of the SBL Mortgage, the forms for completing the Assignment of the MD/FL Existing Mortgage or the NY Existing Mortgages from Freddie Mac to the Seller/Servicer. The Seller/Servicer must also notify the Payoff Team that the SBL Mortgage will be originated by Assignment </w:t>
      </w:r>
      <w:proofErr w:type="gramStart"/>
      <w:r w:rsidRPr="00FC27C2">
        <w:t>in order to</w:t>
      </w:r>
      <w:proofErr w:type="gramEnd"/>
      <w:r w:rsidRPr="00FC27C2">
        <w:t xml:space="preserve"> obtain the original note(s) and security instrument(s) for the MD/FL Existing Mortgage or NY Existing Mortgages. Freddie Mac will endorse the original note(s) for the MD/FL Existing Mortgage or NY Existing Mortgages to the Seller/Servicer and deliver it or them to the Seller/Servicer (delivery to Single Counsel will constitute delivery to the Seller/Servicer) to be held in escrow until Freddie Mac has received the funds for payment in full for the MD/FL Existing Mortgage or NY Existing Mortgages.</w:t>
      </w:r>
    </w:p>
    <w:p w14:paraId="748CEB44" w14:textId="77777777" w:rsidR="00CB3F47" w:rsidRPr="00FC27C2" w:rsidRDefault="00CB3F47" w:rsidP="00CB3F47">
      <w:pPr>
        <w:pStyle w:val="h1-body"/>
      </w:pPr>
    </w:p>
    <w:p w14:paraId="5D2A9752" w14:textId="56364EF2" w:rsidR="00CB3F47" w:rsidRPr="00FC27C2" w:rsidRDefault="00CB3F47" w:rsidP="00CB3F47">
      <w:pPr>
        <w:pStyle w:val="Heading1"/>
      </w:pPr>
      <w:r w:rsidRPr="00FC27C2">
        <w:t xml:space="preserve">South Carolina notice (06/30/16) </w:t>
      </w:r>
    </w:p>
    <w:p w14:paraId="45FC1C4D" w14:textId="77777777" w:rsidR="00CB3F47" w:rsidRPr="00FC27C2" w:rsidRDefault="00CB3F47" w:rsidP="00CB3F47">
      <w:pPr>
        <w:pStyle w:val="h1-body"/>
      </w:pPr>
      <w:r w:rsidRPr="005C521A">
        <w:t xml:space="preserve">If the Property </w:t>
      </w:r>
      <w:proofErr w:type="gramStart"/>
      <w:r w:rsidRPr="00FC27C2">
        <w:t>is located in</w:t>
      </w:r>
      <w:proofErr w:type="gramEnd"/>
      <w:r w:rsidRPr="00FC27C2">
        <w:t xml:space="preserve"> South Carolina, then prior to originating the SBL Mortgage, Seller/Servicer must deliver to Borrower and guarantor the following Notice Letter or another notice letter in compliance with the requirements of the South Carolina Code providing prior written notice that a waiver of appraisal will be required on the origination date of the Mortgage.</w:t>
      </w:r>
    </w:p>
    <w:p w14:paraId="73D684F2" w14:textId="77777777" w:rsidR="00CB3F47" w:rsidRPr="00FC27C2" w:rsidRDefault="00CB3F47" w:rsidP="00CB3F47">
      <w:pPr>
        <w:pStyle w:val="h1-body"/>
      </w:pPr>
    </w:p>
    <w:p w14:paraId="07B722FE" w14:textId="77777777" w:rsidR="00CB3F47" w:rsidRPr="00CB3F47" w:rsidRDefault="00CB3F47" w:rsidP="00CB3F47">
      <w:pPr>
        <w:pStyle w:val="h1-body"/>
        <w:rPr>
          <w:b/>
        </w:rPr>
      </w:pPr>
      <w:r w:rsidRPr="00CB3F47">
        <w:rPr>
          <w:b/>
        </w:rPr>
        <w:t>NOTICE OF WAIVER OF APPRAISAL RIGHTS</w:t>
      </w:r>
    </w:p>
    <w:p w14:paraId="17C60D1E" w14:textId="77777777" w:rsidR="00CB3F47" w:rsidRPr="00FC27C2" w:rsidRDefault="00CB3F47" w:rsidP="00CB3F47">
      <w:pPr>
        <w:pStyle w:val="h1-body"/>
      </w:pPr>
    </w:p>
    <w:p w14:paraId="23F1FD22" w14:textId="77777777" w:rsidR="00CB3F47" w:rsidRPr="00FC27C2" w:rsidRDefault="00CB3F47" w:rsidP="00CB3F47">
      <w:pPr>
        <w:pStyle w:val="h1-body"/>
      </w:pPr>
      <w:r w:rsidRPr="005C521A">
        <w:t>[Name and Address]</w:t>
      </w:r>
    </w:p>
    <w:p w14:paraId="1588D4E6" w14:textId="77777777" w:rsidR="00CB3F47" w:rsidRPr="00FC27C2" w:rsidRDefault="00CB3F47" w:rsidP="00CB3F47">
      <w:pPr>
        <w:pStyle w:val="h1-body"/>
      </w:pPr>
    </w:p>
    <w:p w14:paraId="3D5C4356" w14:textId="77777777" w:rsidR="00CB3F47" w:rsidRPr="00FC27C2" w:rsidRDefault="00CB3F47" w:rsidP="00CB3F47">
      <w:pPr>
        <w:pStyle w:val="h1-body"/>
      </w:pPr>
      <w:r w:rsidRPr="00FC27C2">
        <w:t>Re:</w:t>
      </w:r>
      <w:r w:rsidRPr="00FC27C2">
        <w:tab/>
        <w:t>[Describe Mortgage Transaction]</w:t>
      </w:r>
    </w:p>
    <w:p w14:paraId="17901489" w14:textId="77777777" w:rsidR="00CB3F47" w:rsidRPr="00FC27C2" w:rsidRDefault="00CB3F47" w:rsidP="00CB3F47">
      <w:pPr>
        <w:pStyle w:val="h1-body"/>
      </w:pPr>
    </w:p>
    <w:p w14:paraId="0D707A87" w14:textId="77777777" w:rsidR="00CB3F47" w:rsidRPr="00FC27C2" w:rsidRDefault="00CB3F47" w:rsidP="00CB3F47">
      <w:pPr>
        <w:pStyle w:val="h1-body"/>
      </w:pPr>
      <w:r w:rsidRPr="00FC27C2">
        <w:t>Dear [Insert name of Borrower and guarantor]:</w:t>
      </w:r>
    </w:p>
    <w:p w14:paraId="2F194DB5" w14:textId="77777777" w:rsidR="00CB3F47" w:rsidRPr="00FC27C2" w:rsidRDefault="00CB3F47" w:rsidP="00CB3F47">
      <w:pPr>
        <w:pStyle w:val="h1-body"/>
      </w:pPr>
    </w:p>
    <w:p w14:paraId="78C6E939" w14:textId="77777777" w:rsidR="00CB3F47" w:rsidRPr="00FC27C2" w:rsidRDefault="00CB3F47" w:rsidP="00CB3F47">
      <w:pPr>
        <w:pStyle w:val="h1-body"/>
      </w:pPr>
      <w:r w:rsidRPr="00FC27C2">
        <w:t xml:space="preserve">This letter provides you with written notice as required by S.C. Code Ann. Section 29-3-680 (1976), as amended, that a requirement of the above-referenced credit transaction is your agreement to waive appraisal rights </w:t>
      </w:r>
      <w:r w:rsidRPr="00FC27C2">
        <w:lastRenderedPageBreak/>
        <w:t>provided by statute in South Carolina with respect to all real property serving as collateral for such loan.</w:t>
      </w:r>
    </w:p>
    <w:p w14:paraId="01EE330F" w14:textId="77777777" w:rsidR="00CB3F47" w:rsidRPr="00FC27C2" w:rsidRDefault="00CB3F47" w:rsidP="00CB3F47">
      <w:pPr>
        <w:pStyle w:val="h1-body"/>
      </w:pPr>
    </w:p>
    <w:p w14:paraId="2A2989F6" w14:textId="77777777" w:rsidR="00CB3F47" w:rsidRPr="00FC27C2" w:rsidRDefault="00CB3F47" w:rsidP="00CB3F47">
      <w:pPr>
        <w:pStyle w:val="h1-body"/>
      </w:pPr>
      <w:r w:rsidRPr="00FC27C2">
        <w:t>The Mortgage documents to be executed by you at closing will include the waiver. If you have any questions regarding the foregoing, please do not hesitate to contact the undersigned.</w:t>
      </w:r>
    </w:p>
    <w:p w14:paraId="169E6F19" w14:textId="77777777" w:rsidR="00CB3F47" w:rsidRPr="00FC27C2" w:rsidRDefault="00CB3F47" w:rsidP="00CB3F47">
      <w:pPr>
        <w:pStyle w:val="h1-body"/>
      </w:pPr>
    </w:p>
    <w:p w14:paraId="5718DC8F" w14:textId="7C7F7A6B" w:rsidR="00CB3F47" w:rsidRPr="00FC27C2" w:rsidRDefault="00CB3F47" w:rsidP="00CB3F47">
      <w:pPr>
        <w:pStyle w:val="Heading1"/>
      </w:pPr>
      <w:r w:rsidRPr="00FC27C2">
        <w:t>Assignment (10/12/17)</w:t>
      </w:r>
    </w:p>
    <w:p w14:paraId="6FD248EA" w14:textId="77777777" w:rsidR="00CB3F47" w:rsidRPr="00FC27C2" w:rsidRDefault="00CB3F47" w:rsidP="00CB3F47">
      <w:pPr>
        <w:pStyle w:val="h1-body"/>
      </w:pPr>
      <w:r w:rsidRPr="005C521A">
        <w:t xml:space="preserve">Freddie Mac will have the right to assign or otherwise transfer the </w:t>
      </w:r>
      <w:r w:rsidRPr="00FC27C2">
        <w:t>Letter of Commitment or any Purchase Contract to any affiliate or subsidiary of Freddie Mac without the consent of Seller/Servicer (Freddie Mac Assignment).  After a Freddie Mac Assignment, all references to Freddie Mac in the Letter of Commitment, Purchase Contract, or in this Guide will be deemed to refer to the affiliate or subsidiary of Freddie Mac to which the Freddie Mac Assignment is made.</w:t>
      </w:r>
    </w:p>
    <w:p w14:paraId="71443995" w14:textId="77777777" w:rsidR="00CB3F47" w:rsidRPr="00FC27C2" w:rsidRDefault="00CB3F47" w:rsidP="00CB3F47">
      <w:pPr>
        <w:pStyle w:val="h1-body"/>
      </w:pPr>
    </w:p>
    <w:p w14:paraId="6161FDA4" w14:textId="41885946" w:rsidR="00CB3F47" w:rsidRPr="00FC27C2" w:rsidRDefault="00CB3F47" w:rsidP="00CB3F47">
      <w:pPr>
        <w:pStyle w:val="Heading1"/>
      </w:pPr>
      <w:r w:rsidRPr="00FC27C2">
        <w:t>Buy Up (Premium Pricing) (10/12/17)</w:t>
      </w:r>
    </w:p>
    <w:p w14:paraId="074C67CE" w14:textId="77777777" w:rsidR="00CB3F47" w:rsidRPr="00FC27C2" w:rsidRDefault="00CB3F47" w:rsidP="00CB3F47">
      <w:pPr>
        <w:pStyle w:val="h1-body"/>
      </w:pPr>
      <w:r w:rsidRPr="00FC27C2">
        <w:t xml:space="preserve">If Freddie Mac purchases the Mortgage, in addition to the purchase price Freddie Mac pays to Seller/Servicer for the SBL Mortgage, Freddie Mac will pay Seller/Servicer an amount equal to the Buy Up Fee amount to be paid to Seller as set forth in </w:t>
      </w:r>
      <w:r w:rsidRPr="005C521A">
        <w:t>the Letter of Commitment</w:t>
      </w:r>
      <w:r w:rsidRPr="00FC27C2">
        <w:t xml:space="preserve">. </w:t>
      </w:r>
    </w:p>
    <w:p w14:paraId="1936FA8B" w14:textId="77777777" w:rsidR="00CB3F47" w:rsidRPr="005C521A" w:rsidRDefault="00CB3F47" w:rsidP="00CB3F47">
      <w:pPr>
        <w:pStyle w:val="h1-body"/>
      </w:pPr>
    </w:p>
    <w:p w14:paraId="1B6804BC" w14:textId="77777777" w:rsidR="00BA40DB" w:rsidRDefault="00BA40DB">
      <w:pPr>
        <w:ind w:left="0"/>
        <w:rPr>
          <w:rFonts w:ascii="Arial" w:hAnsi="Arial" w:cs="Arial"/>
          <w:b/>
          <w:sz w:val="28"/>
          <w:szCs w:val="28"/>
        </w:rPr>
      </w:pPr>
      <w:r>
        <w:br w:type="page"/>
      </w:r>
    </w:p>
    <w:p w14:paraId="6D365C84" w14:textId="2553D03A" w:rsidR="00CB3F47" w:rsidRPr="00FC27C2" w:rsidRDefault="00CB3F47" w:rsidP="00CB3F47">
      <w:pPr>
        <w:pStyle w:val="Heading1"/>
      </w:pPr>
      <w:r w:rsidRPr="00FC27C2">
        <w:lastRenderedPageBreak/>
        <w:t>Public record searches (06/29/17)</w:t>
      </w:r>
    </w:p>
    <w:p w14:paraId="598832BB" w14:textId="77777777" w:rsidR="00CB3F47" w:rsidRPr="00FC27C2" w:rsidRDefault="00CB3F47" w:rsidP="00CB3F47">
      <w:pPr>
        <w:pStyle w:val="h1-body"/>
      </w:pPr>
      <w:r w:rsidRPr="00FC27C2">
        <w:t>The following public record searches must be conducted no earlier than 60 days prior to the submission of the full underwriting package to Freddie Mac for each SBL Mortgage:</w:t>
      </w:r>
    </w:p>
    <w:p w14:paraId="590F16A9" w14:textId="77777777" w:rsidR="00CB3F47" w:rsidRPr="005C521A" w:rsidRDefault="00CB3F47" w:rsidP="00CB3F47">
      <w:pPr>
        <w:pStyle w:val="h1-body"/>
      </w:pPr>
    </w:p>
    <w:tbl>
      <w:tblPr>
        <w:tblStyle w:val="TableGrid"/>
        <w:tblW w:w="9990" w:type="dxa"/>
        <w:tblInd w:w="85" w:type="dxa"/>
        <w:tblLayout w:type="fixed"/>
        <w:tblLook w:val="04A0" w:firstRow="1" w:lastRow="0" w:firstColumn="1" w:lastColumn="0" w:noHBand="0" w:noVBand="1"/>
      </w:tblPr>
      <w:tblGrid>
        <w:gridCol w:w="2251"/>
        <w:gridCol w:w="613"/>
        <w:gridCol w:w="527"/>
        <w:gridCol w:w="958"/>
        <w:gridCol w:w="1044"/>
        <w:gridCol w:w="1044"/>
        <w:gridCol w:w="699"/>
        <w:gridCol w:w="2854"/>
      </w:tblGrid>
      <w:tr w:rsidR="00CB3F47" w:rsidRPr="00FC27C2" w14:paraId="133077D3" w14:textId="77777777" w:rsidTr="00FC27C2">
        <w:trPr>
          <w:cantSplit/>
          <w:trHeight w:val="2160"/>
        </w:trPr>
        <w:tc>
          <w:tcPr>
            <w:tcW w:w="2340" w:type="dxa"/>
            <w:shd w:val="clear" w:color="auto" w:fill="BFBFBF" w:themeFill="background1" w:themeFillShade="BF"/>
            <w:vAlign w:val="bottom"/>
          </w:tcPr>
          <w:p w14:paraId="32E52C5C" w14:textId="77777777" w:rsidR="00CB3F47" w:rsidRPr="00CB3F47" w:rsidRDefault="00CB3F47" w:rsidP="00CB3F47">
            <w:pPr>
              <w:pStyle w:val="h1-body"/>
              <w:ind w:left="0"/>
              <w:rPr>
                <w:b/>
              </w:rPr>
            </w:pPr>
            <w:r w:rsidRPr="00CB3F47">
              <w:rPr>
                <w:b/>
              </w:rPr>
              <w:t>SEARCH</w:t>
            </w:r>
          </w:p>
          <w:p w14:paraId="1CE38C88" w14:textId="77777777" w:rsidR="00CB3F47" w:rsidRPr="00CB3F47" w:rsidRDefault="00CB3F47" w:rsidP="00CB3F47">
            <w:pPr>
              <w:pStyle w:val="h1-body"/>
              <w:ind w:left="0"/>
              <w:rPr>
                <w:b/>
              </w:rPr>
            </w:pPr>
          </w:p>
        </w:tc>
        <w:tc>
          <w:tcPr>
            <w:tcW w:w="630" w:type="dxa"/>
            <w:shd w:val="clear" w:color="auto" w:fill="BFBFBF" w:themeFill="background1" w:themeFillShade="BF"/>
            <w:textDirection w:val="btLr"/>
          </w:tcPr>
          <w:p w14:paraId="6092FF57" w14:textId="77777777" w:rsidR="00CB3F47" w:rsidRPr="00CB3F47" w:rsidRDefault="00CB3F47" w:rsidP="00CB3F47">
            <w:pPr>
              <w:pStyle w:val="h1-body"/>
              <w:ind w:left="0"/>
              <w:rPr>
                <w:b/>
              </w:rPr>
            </w:pPr>
            <w:r w:rsidRPr="00CB3F47">
              <w:rPr>
                <w:b/>
              </w:rPr>
              <w:t>BORROWER</w:t>
            </w:r>
          </w:p>
        </w:tc>
        <w:tc>
          <w:tcPr>
            <w:tcW w:w="540" w:type="dxa"/>
            <w:shd w:val="clear" w:color="auto" w:fill="BFBFBF" w:themeFill="background1" w:themeFillShade="BF"/>
            <w:textDirection w:val="btLr"/>
          </w:tcPr>
          <w:p w14:paraId="025AA6D1" w14:textId="77777777" w:rsidR="00CB3F47" w:rsidRPr="00CB3F47" w:rsidRDefault="00CB3F47" w:rsidP="00CB3F47">
            <w:pPr>
              <w:pStyle w:val="h1-body"/>
              <w:ind w:left="0"/>
              <w:rPr>
                <w:b/>
              </w:rPr>
            </w:pPr>
            <w:r w:rsidRPr="00CB3F47">
              <w:rPr>
                <w:b/>
              </w:rPr>
              <w:t>GUARANTOR</w:t>
            </w:r>
          </w:p>
        </w:tc>
        <w:tc>
          <w:tcPr>
            <w:tcW w:w="990" w:type="dxa"/>
            <w:shd w:val="clear" w:color="auto" w:fill="BFBFBF" w:themeFill="background1" w:themeFillShade="BF"/>
            <w:textDirection w:val="btLr"/>
          </w:tcPr>
          <w:p w14:paraId="6ABE5D37" w14:textId="77777777" w:rsidR="00CB3F47" w:rsidRPr="00CB3F47" w:rsidRDefault="00CB3F47" w:rsidP="00CB3F47">
            <w:pPr>
              <w:pStyle w:val="h1-body"/>
              <w:ind w:left="0"/>
              <w:rPr>
                <w:b/>
              </w:rPr>
            </w:pPr>
            <w:r w:rsidRPr="00CB3F47">
              <w:rPr>
                <w:b/>
              </w:rPr>
              <w:t xml:space="preserve">BORROWER PRINCIPAL </w:t>
            </w:r>
            <w:r w:rsidRPr="00CB3F47">
              <w:rPr>
                <w:b/>
              </w:rPr>
              <w:br/>
              <w:t>(not Guarantor)</w:t>
            </w:r>
          </w:p>
        </w:tc>
        <w:tc>
          <w:tcPr>
            <w:tcW w:w="1080" w:type="dxa"/>
            <w:shd w:val="clear" w:color="auto" w:fill="BFBFBF" w:themeFill="background1" w:themeFillShade="BF"/>
            <w:textDirection w:val="btLr"/>
          </w:tcPr>
          <w:p w14:paraId="240AF727" w14:textId="77777777" w:rsidR="00CB3F47" w:rsidRPr="00CB3F47" w:rsidRDefault="00CB3F47" w:rsidP="00CB3F47">
            <w:pPr>
              <w:pStyle w:val="h1-body"/>
              <w:ind w:left="0"/>
              <w:rPr>
                <w:b/>
              </w:rPr>
            </w:pPr>
            <w:r w:rsidRPr="00CB3F47">
              <w:rPr>
                <w:b/>
              </w:rPr>
              <w:t>NON-U.S. EQUITY HOLDER</w:t>
            </w:r>
          </w:p>
        </w:tc>
        <w:tc>
          <w:tcPr>
            <w:tcW w:w="1080" w:type="dxa"/>
            <w:shd w:val="clear" w:color="auto" w:fill="BFBFBF" w:themeFill="background1" w:themeFillShade="BF"/>
            <w:textDirection w:val="btLr"/>
          </w:tcPr>
          <w:p w14:paraId="53B85A6D" w14:textId="77777777" w:rsidR="00CB3F47" w:rsidRPr="00CB3F47" w:rsidRDefault="00CB3F47" w:rsidP="00CB3F47">
            <w:pPr>
              <w:pStyle w:val="h1-body"/>
              <w:ind w:left="0"/>
              <w:rPr>
                <w:b/>
              </w:rPr>
            </w:pPr>
            <w:r w:rsidRPr="00CB3F47">
              <w:rPr>
                <w:b/>
              </w:rPr>
              <w:t>PROPERTY MANAGEMENT COMPANY</w:t>
            </w:r>
          </w:p>
        </w:tc>
        <w:tc>
          <w:tcPr>
            <w:tcW w:w="720" w:type="dxa"/>
            <w:shd w:val="clear" w:color="auto" w:fill="BFBFBF" w:themeFill="background1" w:themeFillShade="BF"/>
            <w:textDirection w:val="btLr"/>
          </w:tcPr>
          <w:p w14:paraId="6271D778" w14:textId="77777777" w:rsidR="00CB3F47" w:rsidRPr="00CB3F47" w:rsidRDefault="00CB3F47" w:rsidP="00CB3F47">
            <w:pPr>
              <w:pStyle w:val="h1-body"/>
              <w:ind w:left="0"/>
              <w:rPr>
                <w:b/>
              </w:rPr>
            </w:pPr>
            <w:r w:rsidRPr="00CB3F47">
              <w:rPr>
                <w:b/>
              </w:rPr>
              <w:t>PROPERTY SELLER</w:t>
            </w:r>
          </w:p>
        </w:tc>
        <w:tc>
          <w:tcPr>
            <w:tcW w:w="2970" w:type="dxa"/>
            <w:shd w:val="clear" w:color="auto" w:fill="BFBFBF" w:themeFill="background1" w:themeFillShade="BF"/>
            <w:vAlign w:val="bottom"/>
          </w:tcPr>
          <w:p w14:paraId="4464088F" w14:textId="77777777" w:rsidR="00CB3F47" w:rsidRPr="00CB3F47" w:rsidRDefault="00CB3F47" w:rsidP="00CB3F47">
            <w:pPr>
              <w:pStyle w:val="h1-body"/>
              <w:ind w:left="0"/>
              <w:rPr>
                <w:b/>
              </w:rPr>
            </w:pPr>
            <w:r w:rsidRPr="00CB3F47">
              <w:rPr>
                <w:b/>
              </w:rPr>
              <w:t>SEARCH PROVIDER/LOCATION</w:t>
            </w:r>
          </w:p>
          <w:p w14:paraId="4CA93A5A" w14:textId="77777777" w:rsidR="00CB3F47" w:rsidRPr="00CB3F47" w:rsidRDefault="00CB3F47" w:rsidP="00CB3F47">
            <w:pPr>
              <w:pStyle w:val="h1-body"/>
              <w:ind w:left="0"/>
              <w:rPr>
                <w:b/>
              </w:rPr>
            </w:pPr>
          </w:p>
        </w:tc>
      </w:tr>
      <w:tr w:rsidR="00CB3F47" w:rsidRPr="00FC27C2" w14:paraId="439CA88E" w14:textId="77777777" w:rsidTr="00FC27C2">
        <w:tc>
          <w:tcPr>
            <w:tcW w:w="2340" w:type="dxa"/>
            <w:shd w:val="clear" w:color="auto" w:fill="auto"/>
          </w:tcPr>
          <w:p w14:paraId="4571870F" w14:textId="77777777" w:rsidR="00CB3F47" w:rsidRPr="00FC27C2" w:rsidRDefault="00CB3F47" w:rsidP="00CB3F47">
            <w:pPr>
              <w:pStyle w:val="h1-body"/>
              <w:ind w:left="0"/>
            </w:pPr>
            <w:r w:rsidRPr="00CB3F47">
              <w:rPr>
                <w:b/>
              </w:rPr>
              <w:t xml:space="preserve">FM Exclusionary List </w:t>
            </w:r>
            <w:r w:rsidRPr="00FC27C2">
              <w:br/>
            </w:r>
            <w:r w:rsidRPr="005C521A">
              <w:t xml:space="preserve">(See Guide Section </w:t>
            </w:r>
            <w:r w:rsidRPr="00FC27C2">
              <w:t>2.18)</w:t>
            </w:r>
          </w:p>
        </w:tc>
        <w:tc>
          <w:tcPr>
            <w:tcW w:w="630" w:type="dxa"/>
            <w:shd w:val="clear" w:color="auto" w:fill="auto"/>
          </w:tcPr>
          <w:p w14:paraId="2F572723" w14:textId="77777777" w:rsidR="00CB3F47" w:rsidRPr="00FC27C2" w:rsidRDefault="00CB3F47" w:rsidP="00CB3F47">
            <w:pPr>
              <w:pStyle w:val="h1-body"/>
              <w:ind w:left="0"/>
            </w:pPr>
            <w:r w:rsidRPr="005C521A">
              <w:t>X</w:t>
            </w:r>
          </w:p>
        </w:tc>
        <w:tc>
          <w:tcPr>
            <w:tcW w:w="540" w:type="dxa"/>
            <w:shd w:val="clear" w:color="auto" w:fill="auto"/>
          </w:tcPr>
          <w:p w14:paraId="3D8537A4" w14:textId="77777777" w:rsidR="00CB3F47" w:rsidRPr="00FC27C2" w:rsidRDefault="00CB3F47" w:rsidP="00CB3F47">
            <w:pPr>
              <w:pStyle w:val="h1-body"/>
              <w:ind w:left="0"/>
            </w:pPr>
            <w:r w:rsidRPr="00FC27C2">
              <w:t>X</w:t>
            </w:r>
          </w:p>
        </w:tc>
        <w:tc>
          <w:tcPr>
            <w:tcW w:w="990" w:type="dxa"/>
            <w:shd w:val="clear" w:color="auto" w:fill="auto"/>
          </w:tcPr>
          <w:p w14:paraId="3AB464D2" w14:textId="77777777" w:rsidR="00CB3F47" w:rsidRPr="00FC27C2" w:rsidRDefault="00CB3F47" w:rsidP="00CB3F47">
            <w:pPr>
              <w:pStyle w:val="h1-body"/>
              <w:ind w:left="0"/>
            </w:pPr>
            <w:r w:rsidRPr="00FC27C2">
              <w:t>X</w:t>
            </w:r>
          </w:p>
        </w:tc>
        <w:tc>
          <w:tcPr>
            <w:tcW w:w="1080" w:type="dxa"/>
          </w:tcPr>
          <w:p w14:paraId="358CA8C0" w14:textId="77777777" w:rsidR="00CB3F47" w:rsidRPr="00FC27C2" w:rsidRDefault="00CB3F47" w:rsidP="00CB3F47">
            <w:pPr>
              <w:pStyle w:val="h1-body"/>
              <w:ind w:left="0"/>
            </w:pPr>
            <w:r w:rsidRPr="00FC27C2">
              <w:t>X</w:t>
            </w:r>
          </w:p>
        </w:tc>
        <w:tc>
          <w:tcPr>
            <w:tcW w:w="1080" w:type="dxa"/>
            <w:shd w:val="clear" w:color="auto" w:fill="auto"/>
          </w:tcPr>
          <w:p w14:paraId="7032AD22" w14:textId="77777777" w:rsidR="00CB3F47" w:rsidRPr="00FC27C2" w:rsidRDefault="00CB3F47" w:rsidP="00CB3F47">
            <w:pPr>
              <w:pStyle w:val="h1-body"/>
              <w:ind w:left="0"/>
            </w:pPr>
            <w:r w:rsidRPr="00FC27C2">
              <w:t>X</w:t>
            </w:r>
          </w:p>
        </w:tc>
        <w:tc>
          <w:tcPr>
            <w:tcW w:w="720" w:type="dxa"/>
            <w:shd w:val="clear" w:color="auto" w:fill="808080" w:themeFill="background1" w:themeFillShade="80"/>
          </w:tcPr>
          <w:p w14:paraId="6328D3F5" w14:textId="77777777" w:rsidR="00CB3F47" w:rsidRPr="00FC27C2" w:rsidRDefault="00CB3F47" w:rsidP="00CB3F47">
            <w:pPr>
              <w:pStyle w:val="h1-body"/>
              <w:ind w:left="0"/>
            </w:pPr>
          </w:p>
        </w:tc>
        <w:tc>
          <w:tcPr>
            <w:tcW w:w="2970" w:type="dxa"/>
            <w:shd w:val="clear" w:color="auto" w:fill="auto"/>
          </w:tcPr>
          <w:p w14:paraId="30583958" w14:textId="77777777" w:rsidR="00CB3F47" w:rsidRPr="00FC27C2" w:rsidRDefault="00CB3F47" w:rsidP="00CB3F47">
            <w:pPr>
              <w:pStyle w:val="h1-body"/>
              <w:ind w:left="0"/>
            </w:pPr>
            <w:r w:rsidRPr="00FC27C2">
              <w:t>freddiemac.com</w:t>
            </w:r>
          </w:p>
        </w:tc>
      </w:tr>
      <w:tr w:rsidR="00CB3F47" w:rsidRPr="00FC27C2" w14:paraId="0E1A0E6D" w14:textId="77777777" w:rsidTr="00FC27C2">
        <w:tc>
          <w:tcPr>
            <w:tcW w:w="2340" w:type="dxa"/>
            <w:shd w:val="clear" w:color="auto" w:fill="auto"/>
          </w:tcPr>
          <w:p w14:paraId="6BFB2347" w14:textId="77777777" w:rsidR="00CB3F47" w:rsidRPr="00FC27C2" w:rsidRDefault="00CB3F47" w:rsidP="00CB3F47">
            <w:pPr>
              <w:pStyle w:val="h1-body"/>
              <w:ind w:left="0"/>
            </w:pPr>
            <w:r w:rsidRPr="00CB3F47">
              <w:rPr>
                <w:b/>
              </w:rPr>
              <w:t>FHFA SCP List</w:t>
            </w:r>
            <w:r w:rsidRPr="00FC27C2">
              <w:t xml:space="preserve"> </w:t>
            </w:r>
            <w:r w:rsidRPr="00FC27C2">
              <w:br/>
            </w:r>
            <w:r w:rsidRPr="005C521A">
              <w:t>(See Guide Section 2.24)</w:t>
            </w:r>
          </w:p>
        </w:tc>
        <w:tc>
          <w:tcPr>
            <w:tcW w:w="630" w:type="dxa"/>
            <w:shd w:val="clear" w:color="auto" w:fill="auto"/>
          </w:tcPr>
          <w:p w14:paraId="1C8556E0" w14:textId="77777777" w:rsidR="00CB3F47" w:rsidRPr="00FC27C2" w:rsidRDefault="00CB3F47" w:rsidP="00CB3F47">
            <w:pPr>
              <w:pStyle w:val="h1-body"/>
              <w:ind w:left="0"/>
            </w:pPr>
            <w:r w:rsidRPr="005C521A">
              <w:t>X</w:t>
            </w:r>
          </w:p>
        </w:tc>
        <w:tc>
          <w:tcPr>
            <w:tcW w:w="540" w:type="dxa"/>
            <w:shd w:val="clear" w:color="auto" w:fill="auto"/>
          </w:tcPr>
          <w:p w14:paraId="4262A16C" w14:textId="77777777" w:rsidR="00CB3F47" w:rsidRPr="00FC27C2" w:rsidRDefault="00CB3F47" w:rsidP="00CB3F47">
            <w:pPr>
              <w:pStyle w:val="h1-body"/>
              <w:ind w:left="0"/>
            </w:pPr>
            <w:r w:rsidRPr="00FC27C2">
              <w:t>X</w:t>
            </w:r>
          </w:p>
        </w:tc>
        <w:tc>
          <w:tcPr>
            <w:tcW w:w="990" w:type="dxa"/>
            <w:shd w:val="clear" w:color="auto" w:fill="auto"/>
          </w:tcPr>
          <w:p w14:paraId="5CD7821A" w14:textId="77777777" w:rsidR="00CB3F47" w:rsidRPr="00FC27C2" w:rsidRDefault="00CB3F47" w:rsidP="00CB3F47">
            <w:pPr>
              <w:pStyle w:val="h1-body"/>
              <w:ind w:left="0"/>
            </w:pPr>
            <w:r w:rsidRPr="00FC27C2">
              <w:t>X</w:t>
            </w:r>
          </w:p>
        </w:tc>
        <w:tc>
          <w:tcPr>
            <w:tcW w:w="1080" w:type="dxa"/>
          </w:tcPr>
          <w:p w14:paraId="52A6FF6D" w14:textId="77777777" w:rsidR="00CB3F47" w:rsidRPr="00FC27C2" w:rsidRDefault="00CB3F47" w:rsidP="00CB3F47">
            <w:pPr>
              <w:pStyle w:val="h1-body"/>
              <w:ind w:left="0"/>
            </w:pPr>
            <w:r w:rsidRPr="00FC27C2">
              <w:t>X</w:t>
            </w:r>
          </w:p>
        </w:tc>
        <w:tc>
          <w:tcPr>
            <w:tcW w:w="1080" w:type="dxa"/>
            <w:shd w:val="clear" w:color="auto" w:fill="auto"/>
          </w:tcPr>
          <w:p w14:paraId="6BA1EC96" w14:textId="77777777" w:rsidR="00CB3F47" w:rsidRPr="00FC27C2" w:rsidRDefault="00CB3F47" w:rsidP="00CB3F47">
            <w:pPr>
              <w:pStyle w:val="h1-body"/>
              <w:ind w:left="0"/>
            </w:pPr>
            <w:r w:rsidRPr="00FC27C2">
              <w:t>X</w:t>
            </w:r>
          </w:p>
        </w:tc>
        <w:tc>
          <w:tcPr>
            <w:tcW w:w="720" w:type="dxa"/>
            <w:shd w:val="clear" w:color="auto" w:fill="808080" w:themeFill="background1" w:themeFillShade="80"/>
          </w:tcPr>
          <w:p w14:paraId="3DFE173A" w14:textId="77777777" w:rsidR="00CB3F47" w:rsidRPr="00FC27C2" w:rsidRDefault="00CB3F47" w:rsidP="00CB3F47">
            <w:pPr>
              <w:pStyle w:val="h1-body"/>
              <w:ind w:left="0"/>
            </w:pPr>
          </w:p>
        </w:tc>
        <w:tc>
          <w:tcPr>
            <w:tcW w:w="2970" w:type="dxa"/>
            <w:shd w:val="clear" w:color="auto" w:fill="auto"/>
          </w:tcPr>
          <w:p w14:paraId="57CDD2BA" w14:textId="77777777" w:rsidR="00CB3F47" w:rsidRPr="00FC27C2" w:rsidRDefault="00CB3F47" w:rsidP="00CB3F47">
            <w:pPr>
              <w:pStyle w:val="h1-body"/>
              <w:ind w:left="0"/>
            </w:pPr>
            <w:r w:rsidRPr="00FC27C2">
              <w:t>fhfa.gov</w:t>
            </w:r>
          </w:p>
        </w:tc>
      </w:tr>
      <w:tr w:rsidR="00CB3F47" w:rsidRPr="00FC27C2" w14:paraId="2F51C0D5" w14:textId="77777777" w:rsidTr="00FC27C2">
        <w:tc>
          <w:tcPr>
            <w:tcW w:w="2340" w:type="dxa"/>
            <w:shd w:val="clear" w:color="auto" w:fill="auto"/>
          </w:tcPr>
          <w:p w14:paraId="18A831CF" w14:textId="77777777" w:rsidR="00CB3F47" w:rsidRPr="00FC27C2" w:rsidRDefault="00CB3F47" w:rsidP="00CB3F47">
            <w:pPr>
              <w:pStyle w:val="h1-body"/>
              <w:ind w:left="0"/>
            </w:pPr>
            <w:r w:rsidRPr="00CB3F47">
              <w:rPr>
                <w:b/>
              </w:rPr>
              <w:t xml:space="preserve">OFAC </w:t>
            </w:r>
            <w:r w:rsidRPr="00FC27C2">
              <w:br/>
            </w:r>
            <w:r w:rsidRPr="005C521A">
              <w:t xml:space="preserve">(See Guide Section </w:t>
            </w:r>
            <w:r w:rsidRPr="00FC27C2">
              <w:t>2.23)</w:t>
            </w:r>
          </w:p>
        </w:tc>
        <w:tc>
          <w:tcPr>
            <w:tcW w:w="630" w:type="dxa"/>
            <w:shd w:val="clear" w:color="auto" w:fill="auto"/>
          </w:tcPr>
          <w:p w14:paraId="078B8D3F" w14:textId="77777777" w:rsidR="00CB3F47" w:rsidRPr="00FC27C2" w:rsidRDefault="00CB3F47" w:rsidP="00CB3F47">
            <w:pPr>
              <w:pStyle w:val="h1-body"/>
              <w:ind w:left="0"/>
            </w:pPr>
            <w:r w:rsidRPr="005C521A">
              <w:t>X</w:t>
            </w:r>
          </w:p>
        </w:tc>
        <w:tc>
          <w:tcPr>
            <w:tcW w:w="540" w:type="dxa"/>
            <w:shd w:val="clear" w:color="auto" w:fill="auto"/>
          </w:tcPr>
          <w:p w14:paraId="0FB66276" w14:textId="77777777" w:rsidR="00CB3F47" w:rsidRPr="00FC27C2" w:rsidRDefault="00CB3F47" w:rsidP="00CB3F47">
            <w:pPr>
              <w:pStyle w:val="h1-body"/>
              <w:ind w:left="0"/>
            </w:pPr>
            <w:r w:rsidRPr="00FC27C2">
              <w:t>X</w:t>
            </w:r>
          </w:p>
        </w:tc>
        <w:tc>
          <w:tcPr>
            <w:tcW w:w="990" w:type="dxa"/>
            <w:shd w:val="clear" w:color="auto" w:fill="auto"/>
          </w:tcPr>
          <w:p w14:paraId="62EC01A9" w14:textId="77777777" w:rsidR="00CB3F47" w:rsidRPr="00FC27C2" w:rsidRDefault="00CB3F47" w:rsidP="00CB3F47">
            <w:pPr>
              <w:pStyle w:val="h1-body"/>
              <w:ind w:left="0"/>
            </w:pPr>
            <w:r w:rsidRPr="00FC27C2">
              <w:t>X</w:t>
            </w:r>
          </w:p>
        </w:tc>
        <w:tc>
          <w:tcPr>
            <w:tcW w:w="1080" w:type="dxa"/>
          </w:tcPr>
          <w:p w14:paraId="1308A476" w14:textId="77777777" w:rsidR="00CB3F47" w:rsidRPr="00FC27C2" w:rsidRDefault="00CB3F47" w:rsidP="00CB3F47">
            <w:pPr>
              <w:pStyle w:val="h1-body"/>
              <w:ind w:left="0"/>
            </w:pPr>
            <w:r w:rsidRPr="00FC27C2">
              <w:t>X</w:t>
            </w:r>
          </w:p>
        </w:tc>
        <w:tc>
          <w:tcPr>
            <w:tcW w:w="1080" w:type="dxa"/>
            <w:shd w:val="clear" w:color="auto" w:fill="auto"/>
          </w:tcPr>
          <w:p w14:paraId="4D9A0434" w14:textId="77777777" w:rsidR="00CB3F47" w:rsidRPr="00FC27C2" w:rsidRDefault="00CB3F47" w:rsidP="00CB3F47">
            <w:pPr>
              <w:pStyle w:val="h1-body"/>
              <w:ind w:left="0"/>
            </w:pPr>
            <w:r w:rsidRPr="00FC27C2">
              <w:t>X</w:t>
            </w:r>
          </w:p>
        </w:tc>
        <w:tc>
          <w:tcPr>
            <w:tcW w:w="720" w:type="dxa"/>
            <w:shd w:val="clear" w:color="auto" w:fill="808080" w:themeFill="background1" w:themeFillShade="80"/>
          </w:tcPr>
          <w:p w14:paraId="28A027B8" w14:textId="77777777" w:rsidR="00CB3F47" w:rsidRPr="00FC27C2" w:rsidRDefault="00CB3F47" w:rsidP="00CB3F47">
            <w:pPr>
              <w:pStyle w:val="h1-body"/>
              <w:ind w:left="0"/>
            </w:pPr>
          </w:p>
        </w:tc>
        <w:tc>
          <w:tcPr>
            <w:tcW w:w="2970" w:type="dxa"/>
            <w:shd w:val="clear" w:color="auto" w:fill="auto"/>
          </w:tcPr>
          <w:p w14:paraId="232075BE" w14:textId="77777777" w:rsidR="00CB3F47" w:rsidRPr="00FC27C2" w:rsidRDefault="00CB3F47" w:rsidP="00CB3F47">
            <w:pPr>
              <w:pStyle w:val="h1-body"/>
              <w:ind w:left="0"/>
            </w:pPr>
            <w:r w:rsidRPr="00FC27C2">
              <w:t xml:space="preserve">sanctionssearch.ofac.treas.gov, </w:t>
            </w:r>
            <w:r w:rsidRPr="00FC27C2">
              <w:br/>
              <w:t>LexisNexis, or similar</w:t>
            </w:r>
          </w:p>
        </w:tc>
      </w:tr>
      <w:tr w:rsidR="00CB3F47" w:rsidRPr="00FC27C2" w14:paraId="1DA354D9" w14:textId="77777777" w:rsidTr="00FC27C2">
        <w:tc>
          <w:tcPr>
            <w:tcW w:w="2340" w:type="dxa"/>
            <w:shd w:val="clear" w:color="auto" w:fill="auto"/>
          </w:tcPr>
          <w:p w14:paraId="6E5F77CE" w14:textId="77777777" w:rsidR="00CB3F47" w:rsidRPr="00CB3F47" w:rsidRDefault="00CB3F47" w:rsidP="00CB3F47">
            <w:pPr>
              <w:pStyle w:val="h1-body"/>
              <w:ind w:left="0"/>
              <w:rPr>
                <w:b/>
              </w:rPr>
            </w:pPr>
            <w:r w:rsidRPr="00CB3F47">
              <w:rPr>
                <w:b/>
              </w:rPr>
              <w:t>Credit Reports - Individual</w:t>
            </w:r>
          </w:p>
          <w:p w14:paraId="5F83FE2A" w14:textId="77777777" w:rsidR="00CB3F47" w:rsidRPr="00FC27C2" w:rsidRDefault="00CB3F47" w:rsidP="00CB3F47">
            <w:pPr>
              <w:pStyle w:val="h1-body"/>
              <w:ind w:left="0"/>
            </w:pPr>
            <w:r w:rsidRPr="005C521A">
              <w:t xml:space="preserve">(See Guide Section </w:t>
            </w:r>
            <w:r w:rsidRPr="00FC27C2">
              <w:t>55SBL.2, Credit Report entry)</w:t>
            </w:r>
          </w:p>
        </w:tc>
        <w:tc>
          <w:tcPr>
            <w:tcW w:w="630" w:type="dxa"/>
            <w:shd w:val="clear" w:color="auto" w:fill="auto"/>
          </w:tcPr>
          <w:p w14:paraId="65BA737D" w14:textId="77777777" w:rsidR="00CB3F47" w:rsidRPr="00FC27C2" w:rsidRDefault="00CB3F47" w:rsidP="00CB3F47">
            <w:pPr>
              <w:pStyle w:val="h1-body"/>
              <w:ind w:left="0"/>
            </w:pPr>
            <w:r w:rsidRPr="00FC27C2">
              <w:t>X</w:t>
            </w:r>
          </w:p>
        </w:tc>
        <w:tc>
          <w:tcPr>
            <w:tcW w:w="540" w:type="dxa"/>
            <w:shd w:val="clear" w:color="auto" w:fill="auto"/>
          </w:tcPr>
          <w:p w14:paraId="3CED6145" w14:textId="77777777" w:rsidR="00CB3F47" w:rsidRPr="00FC27C2" w:rsidRDefault="00CB3F47" w:rsidP="00CB3F47">
            <w:pPr>
              <w:pStyle w:val="h1-body"/>
              <w:ind w:left="0"/>
            </w:pPr>
            <w:r w:rsidRPr="00FC27C2">
              <w:t>X</w:t>
            </w:r>
          </w:p>
        </w:tc>
        <w:tc>
          <w:tcPr>
            <w:tcW w:w="990" w:type="dxa"/>
            <w:shd w:val="clear" w:color="auto" w:fill="auto"/>
          </w:tcPr>
          <w:p w14:paraId="79B96C41" w14:textId="77777777" w:rsidR="00CB3F47" w:rsidRPr="00FC27C2" w:rsidRDefault="00CB3F47" w:rsidP="00CB3F47">
            <w:pPr>
              <w:pStyle w:val="h1-body"/>
              <w:ind w:left="0"/>
            </w:pPr>
            <w:r w:rsidRPr="00FC27C2">
              <w:t>X</w:t>
            </w:r>
          </w:p>
        </w:tc>
        <w:tc>
          <w:tcPr>
            <w:tcW w:w="1080" w:type="dxa"/>
            <w:shd w:val="clear" w:color="auto" w:fill="808080" w:themeFill="background1" w:themeFillShade="80"/>
          </w:tcPr>
          <w:p w14:paraId="597AF1CC" w14:textId="77777777" w:rsidR="00CB3F47" w:rsidRPr="00FC27C2" w:rsidRDefault="00CB3F47" w:rsidP="00CB3F47">
            <w:pPr>
              <w:pStyle w:val="h1-body"/>
              <w:ind w:left="0"/>
            </w:pPr>
          </w:p>
        </w:tc>
        <w:tc>
          <w:tcPr>
            <w:tcW w:w="1080" w:type="dxa"/>
            <w:shd w:val="clear" w:color="auto" w:fill="808080" w:themeFill="background1" w:themeFillShade="80"/>
          </w:tcPr>
          <w:p w14:paraId="5C9B066F" w14:textId="77777777" w:rsidR="00CB3F47" w:rsidRPr="00FC27C2" w:rsidRDefault="00CB3F47" w:rsidP="00CB3F47">
            <w:pPr>
              <w:pStyle w:val="h1-body"/>
              <w:ind w:left="0"/>
            </w:pPr>
          </w:p>
        </w:tc>
        <w:tc>
          <w:tcPr>
            <w:tcW w:w="720" w:type="dxa"/>
            <w:shd w:val="clear" w:color="auto" w:fill="808080" w:themeFill="background1" w:themeFillShade="80"/>
          </w:tcPr>
          <w:p w14:paraId="4252BCAC" w14:textId="77777777" w:rsidR="00CB3F47" w:rsidRPr="00FC27C2" w:rsidRDefault="00CB3F47" w:rsidP="00CB3F47">
            <w:pPr>
              <w:pStyle w:val="h1-body"/>
              <w:ind w:left="0"/>
            </w:pPr>
          </w:p>
        </w:tc>
        <w:tc>
          <w:tcPr>
            <w:tcW w:w="2970" w:type="dxa"/>
            <w:shd w:val="clear" w:color="auto" w:fill="auto"/>
          </w:tcPr>
          <w:p w14:paraId="7B1CDEFC" w14:textId="77777777" w:rsidR="00CB3F47" w:rsidRPr="00FC27C2" w:rsidRDefault="00CB3F47" w:rsidP="00CB3F47">
            <w:pPr>
              <w:pStyle w:val="h1-body"/>
              <w:ind w:left="0"/>
            </w:pPr>
            <w:r w:rsidRPr="00FC27C2">
              <w:t>At least two of the national credit bureaus (Equifax, TransUnion and Experian)</w:t>
            </w:r>
          </w:p>
        </w:tc>
      </w:tr>
      <w:tr w:rsidR="00CB3F47" w:rsidRPr="00FC27C2" w14:paraId="37B36EFD" w14:textId="77777777" w:rsidTr="00FC27C2">
        <w:tc>
          <w:tcPr>
            <w:tcW w:w="2340" w:type="dxa"/>
            <w:shd w:val="clear" w:color="auto" w:fill="auto"/>
          </w:tcPr>
          <w:p w14:paraId="1DFAC082" w14:textId="77777777" w:rsidR="00CB3F47" w:rsidRPr="00CB3F47" w:rsidRDefault="00CB3F47" w:rsidP="00CB3F47">
            <w:pPr>
              <w:pStyle w:val="h1-body"/>
              <w:ind w:left="0"/>
              <w:rPr>
                <w:b/>
              </w:rPr>
            </w:pPr>
            <w:r w:rsidRPr="00CB3F47">
              <w:rPr>
                <w:b/>
              </w:rPr>
              <w:t>Web Search</w:t>
            </w:r>
          </w:p>
        </w:tc>
        <w:tc>
          <w:tcPr>
            <w:tcW w:w="630" w:type="dxa"/>
            <w:shd w:val="clear" w:color="auto" w:fill="auto"/>
          </w:tcPr>
          <w:p w14:paraId="37B7ED21" w14:textId="77777777" w:rsidR="00CB3F47" w:rsidRPr="00FC27C2" w:rsidRDefault="00CB3F47" w:rsidP="00CB3F47">
            <w:pPr>
              <w:pStyle w:val="h1-body"/>
              <w:ind w:left="0"/>
            </w:pPr>
            <w:r w:rsidRPr="005C521A">
              <w:t>X</w:t>
            </w:r>
          </w:p>
        </w:tc>
        <w:tc>
          <w:tcPr>
            <w:tcW w:w="540" w:type="dxa"/>
            <w:shd w:val="clear" w:color="auto" w:fill="auto"/>
          </w:tcPr>
          <w:p w14:paraId="2610E3C8" w14:textId="77777777" w:rsidR="00CB3F47" w:rsidRPr="00FC27C2" w:rsidRDefault="00CB3F47" w:rsidP="00CB3F47">
            <w:pPr>
              <w:pStyle w:val="h1-body"/>
              <w:ind w:left="0"/>
            </w:pPr>
            <w:r w:rsidRPr="00FC27C2">
              <w:t>X</w:t>
            </w:r>
          </w:p>
        </w:tc>
        <w:tc>
          <w:tcPr>
            <w:tcW w:w="990" w:type="dxa"/>
            <w:shd w:val="clear" w:color="auto" w:fill="auto"/>
          </w:tcPr>
          <w:p w14:paraId="70FF2C7F" w14:textId="77777777" w:rsidR="00CB3F47" w:rsidRPr="00FC27C2" w:rsidRDefault="00CB3F47" w:rsidP="00CB3F47">
            <w:pPr>
              <w:pStyle w:val="h1-body"/>
              <w:ind w:left="0"/>
            </w:pPr>
            <w:r w:rsidRPr="00FC27C2">
              <w:t>X</w:t>
            </w:r>
          </w:p>
        </w:tc>
        <w:tc>
          <w:tcPr>
            <w:tcW w:w="1080" w:type="dxa"/>
            <w:shd w:val="clear" w:color="auto" w:fill="808080" w:themeFill="background1" w:themeFillShade="80"/>
          </w:tcPr>
          <w:p w14:paraId="085AF0DD" w14:textId="77777777" w:rsidR="00CB3F47" w:rsidRPr="00FC27C2" w:rsidRDefault="00CB3F47" w:rsidP="00CB3F47">
            <w:pPr>
              <w:pStyle w:val="h1-body"/>
              <w:ind w:left="0"/>
            </w:pPr>
          </w:p>
        </w:tc>
        <w:tc>
          <w:tcPr>
            <w:tcW w:w="1080" w:type="dxa"/>
            <w:shd w:val="clear" w:color="auto" w:fill="808080" w:themeFill="background1" w:themeFillShade="80"/>
          </w:tcPr>
          <w:p w14:paraId="23D6F0FB" w14:textId="77777777" w:rsidR="00CB3F47" w:rsidRPr="00FC27C2" w:rsidRDefault="00CB3F47" w:rsidP="00CB3F47">
            <w:pPr>
              <w:pStyle w:val="h1-body"/>
              <w:ind w:left="0"/>
            </w:pPr>
          </w:p>
        </w:tc>
        <w:tc>
          <w:tcPr>
            <w:tcW w:w="720" w:type="dxa"/>
            <w:shd w:val="clear" w:color="auto" w:fill="808080" w:themeFill="background1" w:themeFillShade="80"/>
          </w:tcPr>
          <w:p w14:paraId="07E7847C" w14:textId="77777777" w:rsidR="00CB3F47" w:rsidRPr="00FC27C2" w:rsidRDefault="00CB3F47" w:rsidP="00CB3F47">
            <w:pPr>
              <w:pStyle w:val="h1-body"/>
              <w:ind w:left="0"/>
            </w:pPr>
          </w:p>
        </w:tc>
        <w:tc>
          <w:tcPr>
            <w:tcW w:w="2970" w:type="dxa"/>
            <w:shd w:val="clear" w:color="auto" w:fill="auto"/>
          </w:tcPr>
          <w:p w14:paraId="57D23E78" w14:textId="77777777" w:rsidR="00CB3F47" w:rsidRPr="00FC27C2" w:rsidRDefault="00CB3F47" w:rsidP="00CB3F47">
            <w:pPr>
              <w:pStyle w:val="h1-body"/>
              <w:ind w:left="0"/>
            </w:pPr>
            <w:r w:rsidRPr="00FC27C2">
              <w:t>Google.com or similar</w:t>
            </w:r>
          </w:p>
        </w:tc>
      </w:tr>
      <w:tr w:rsidR="00CB3F47" w:rsidRPr="00FC27C2" w14:paraId="29838901" w14:textId="77777777" w:rsidTr="00FC27C2">
        <w:tc>
          <w:tcPr>
            <w:tcW w:w="2340" w:type="dxa"/>
            <w:shd w:val="clear" w:color="auto" w:fill="auto"/>
          </w:tcPr>
          <w:p w14:paraId="79B5C13D" w14:textId="77777777" w:rsidR="00CB3F47" w:rsidRPr="00CB3F47" w:rsidRDefault="00CB3F47" w:rsidP="00CB3F47">
            <w:pPr>
              <w:pStyle w:val="h1-body"/>
              <w:ind w:left="0"/>
              <w:rPr>
                <w:b/>
              </w:rPr>
            </w:pPr>
            <w:r w:rsidRPr="00CB3F47">
              <w:rPr>
                <w:b/>
              </w:rPr>
              <w:t>Bankruptcy</w:t>
            </w:r>
          </w:p>
        </w:tc>
        <w:tc>
          <w:tcPr>
            <w:tcW w:w="630" w:type="dxa"/>
            <w:shd w:val="clear" w:color="auto" w:fill="auto"/>
          </w:tcPr>
          <w:p w14:paraId="4CC33F7D" w14:textId="77777777" w:rsidR="00CB3F47" w:rsidRPr="00FC27C2" w:rsidRDefault="00CB3F47" w:rsidP="00CB3F47">
            <w:pPr>
              <w:pStyle w:val="h1-body"/>
              <w:ind w:left="0"/>
            </w:pPr>
            <w:r w:rsidRPr="005C521A">
              <w:t>X</w:t>
            </w:r>
          </w:p>
        </w:tc>
        <w:tc>
          <w:tcPr>
            <w:tcW w:w="540" w:type="dxa"/>
            <w:shd w:val="clear" w:color="auto" w:fill="auto"/>
          </w:tcPr>
          <w:p w14:paraId="796781D6" w14:textId="77777777" w:rsidR="00CB3F47" w:rsidRPr="00FC27C2" w:rsidRDefault="00CB3F47" w:rsidP="00CB3F47">
            <w:pPr>
              <w:pStyle w:val="h1-body"/>
              <w:ind w:left="0"/>
            </w:pPr>
            <w:r w:rsidRPr="00FC27C2">
              <w:t>X</w:t>
            </w:r>
          </w:p>
        </w:tc>
        <w:tc>
          <w:tcPr>
            <w:tcW w:w="990" w:type="dxa"/>
            <w:shd w:val="clear" w:color="auto" w:fill="auto"/>
          </w:tcPr>
          <w:p w14:paraId="12ECF05F" w14:textId="77777777" w:rsidR="00CB3F47" w:rsidRPr="00FC27C2" w:rsidRDefault="00CB3F47" w:rsidP="00CB3F47">
            <w:pPr>
              <w:pStyle w:val="h1-body"/>
              <w:ind w:left="0"/>
            </w:pPr>
            <w:r w:rsidRPr="00FC27C2">
              <w:t>X</w:t>
            </w:r>
          </w:p>
        </w:tc>
        <w:tc>
          <w:tcPr>
            <w:tcW w:w="1080" w:type="dxa"/>
            <w:shd w:val="clear" w:color="auto" w:fill="808080" w:themeFill="background1" w:themeFillShade="80"/>
          </w:tcPr>
          <w:p w14:paraId="26CE2948" w14:textId="77777777" w:rsidR="00CB3F47" w:rsidRPr="00FC27C2" w:rsidRDefault="00CB3F47" w:rsidP="00CB3F47">
            <w:pPr>
              <w:pStyle w:val="h1-body"/>
              <w:ind w:left="0"/>
            </w:pPr>
          </w:p>
        </w:tc>
        <w:tc>
          <w:tcPr>
            <w:tcW w:w="1080" w:type="dxa"/>
            <w:shd w:val="clear" w:color="auto" w:fill="808080" w:themeFill="background1" w:themeFillShade="80"/>
          </w:tcPr>
          <w:p w14:paraId="4E126E8C" w14:textId="77777777" w:rsidR="00CB3F47" w:rsidRPr="00FC27C2" w:rsidRDefault="00CB3F47" w:rsidP="00CB3F47">
            <w:pPr>
              <w:pStyle w:val="h1-body"/>
              <w:ind w:left="0"/>
            </w:pPr>
          </w:p>
        </w:tc>
        <w:tc>
          <w:tcPr>
            <w:tcW w:w="720" w:type="dxa"/>
            <w:shd w:val="clear" w:color="auto" w:fill="auto"/>
          </w:tcPr>
          <w:p w14:paraId="3427BDF6" w14:textId="77777777" w:rsidR="00CB3F47" w:rsidRPr="00FC27C2" w:rsidRDefault="00CB3F47" w:rsidP="00CB3F47">
            <w:pPr>
              <w:pStyle w:val="h1-body"/>
              <w:ind w:left="0"/>
            </w:pPr>
            <w:r w:rsidRPr="00FC27C2">
              <w:t>X</w:t>
            </w:r>
          </w:p>
        </w:tc>
        <w:tc>
          <w:tcPr>
            <w:tcW w:w="2970" w:type="dxa"/>
            <w:shd w:val="clear" w:color="auto" w:fill="auto"/>
          </w:tcPr>
          <w:p w14:paraId="73AF5CAF" w14:textId="77777777" w:rsidR="00CB3F47" w:rsidRPr="00FC27C2" w:rsidRDefault="00CB3F47" w:rsidP="00CB3F47">
            <w:pPr>
              <w:pStyle w:val="h1-body"/>
              <w:ind w:left="0"/>
            </w:pPr>
            <w:r w:rsidRPr="00FC27C2">
              <w:t>title or search firm, Pacer.gov, LexisNexis or similar</w:t>
            </w:r>
          </w:p>
        </w:tc>
      </w:tr>
      <w:tr w:rsidR="00CB3F47" w:rsidRPr="00FC27C2" w14:paraId="304B9E16" w14:textId="77777777" w:rsidTr="00FC27C2">
        <w:tc>
          <w:tcPr>
            <w:tcW w:w="2340" w:type="dxa"/>
            <w:shd w:val="clear" w:color="auto" w:fill="auto"/>
          </w:tcPr>
          <w:p w14:paraId="362BC6B4" w14:textId="77777777" w:rsidR="00CB3F47" w:rsidRPr="00CB3F47" w:rsidRDefault="00CB3F47" w:rsidP="00CB3F47">
            <w:pPr>
              <w:pStyle w:val="h1-body"/>
              <w:ind w:left="0"/>
              <w:rPr>
                <w:b/>
              </w:rPr>
            </w:pPr>
            <w:r w:rsidRPr="00CB3F47">
              <w:rPr>
                <w:b/>
              </w:rPr>
              <w:t>Tax Lien (Federal, State)</w:t>
            </w:r>
          </w:p>
        </w:tc>
        <w:tc>
          <w:tcPr>
            <w:tcW w:w="630" w:type="dxa"/>
            <w:shd w:val="clear" w:color="auto" w:fill="auto"/>
          </w:tcPr>
          <w:p w14:paraId="4872AAFA" w14:textId="77777777" w:rsidR="00CB3F47" w:rsidRPr="00FC27C2" w:rsidRDefault="00CB3F47" w:rsidP="00CB3F47">
            <w:pPr>
              <w:pStyle w:val="h1-body"/>
              <w:ind w:left="0"/>
            </w:pPr>
            <w:r w:rsidRPr="005C521A">
              <w:t>X</w:t>
            </w:r>
          </w:p>
        </w:tc>
        <w:tc>
          <w:tcPr>
            <w:tcW w:w="540" w:type="dxa"/>
            <w:shd w:val="clear" w:color="auto" w:fill="auto"/>
          </w:tcPr>
          <w:p w14:paraId="72160C83" w14:textId="77777777" w:rsidR="00CB3F47" w:rsidRPr="00FC27C2" w:rsidRDefault="00CB3F47" w:rsidP="00CB3F47">
            <w:pPr>
              <w:pStyle w:val="h1-body"/>
              <w:ind w:left="0"/>
            </w:pPr>
            <w:r w:rsidRPr="00FC27C2">
              <w:t>X</w:t>
            </w:r>
          </w:p>
        </w:tc>
        <w:tc>
          <w:tcPr>
            <w:tcW w:w="990" w:type="dxa"/>
            <w:shd w:val="clear" w:color="auto" w:fill="auto"/>
          </w:tcPr>
          <w:p w14:paraId="52EAF9AC" w14:textId="77777777" w:rsidR="00CB3F47" w:rsidRPr="00FC27C2" w:rsidRDefault="00CB3F47" w:rsidP="00CB3F47">
            <w:pPr>
              <w:pStyle w:val="h1-body"/>
              <w:ind w:left="0"/>
            </w:pPr>
            <w:r w:rsidRPr="00FC27C2">
              <w:t>X</w:t>
            </w:r>
          </w:p>
        </w:tc>
        <w:tc>
          <w:tcPr>
            <w:tcW w:w="1080" w:type="dxa"/>
            <w:shd w:val="clear" w:color="auto" w:fill="808080" w:themeFill="background1" w:themeFillShade="80"/>
          </w:tcPr>
          <w:p w14:paraId="1B790D89" w14:textId="77777777" w:rsidR="00CB3F47" w:rsidRPr="00FC27C2" w:rsidRDefault="00CB3F47" w:rsidP="00CB3F47">
            <w:pPr>
              <w:pStyle w:val="h1-body"/>
              <w:ind w:left="0"/>
            </w:pPr>
          </w:p>
        </w:tc>
        <w:tc>
          <w:tcPr>
            <w:tcW w:w="1080" w:type="dxa"/>
            <w:shd w:val="clear" w:color="auto" w:fill="808080" w:themeFill="background1" w:themeFillShade="80"/>
          </w:tcPr>
          <w:p w14:paraId="0E08F047" w14:textId="77777777" w:rsidR="00CB3F47" w:rsidRPr="00FC27C2" w:rsidRDefault="00CB3F47" w:rsidP="00CB3F47">
            <w:pPr>
              <w:pStyle w:val="h1-body"/>
              <w:ind w:left="0"/>
            </w:pPr>
          </w:p>
        </w:tc>
        <w:tc>
          <w:tcPr>
            <w:tcW w:w="720" w:type="dxa"/>
            <w:shd w:val="clear" w:color="auto" w:fill="auto"/>
          </w:tcPr>
          <w:p w14:paraId="07F68D6B" w14:textId="77777777" w:rsidR="00CB3F47" w:rsidRPr="00FC27C2" w:rsidRDefault="00CB3F47" w:rsidP="00CB3F47">
            <w:pPr>
              <w:pStyle w:val="h1-body"/>
              <w:ind w:left="0"/>
            </w:pPr>
            <w:r w:rsidRPr="00FC27C2">
              <w:t>X</w:t>
            </w:r>
          </w:p>
        </w:tc>
        <w:tc>
          <w:tcPr>
            <w:tcW w:w="2970" w:type="dxa"/>
            <w:shd w:val="clear" w:color="auto" w:fill="auto"/>
          </w:tcPr>
          <w:p w14:paraId="189BE923" w14:textId="77777777" w:rsidR="00CB3F47" w:rsidRPr="00FC27C2" w:rsidRDefault="00CB3F47" w:rsidP="00CB3F47">
            <w:pPr>
              <w:pStyle w:val="h1-body"/>
              <w:ind w:left="0"/>
            </w:pPr>
            <w:r w:rsidRPr="00FC27C2">
              <w:t>title or search firm, law firm, Pacer.gov, LexisNexis or similar</w:t>
            </w:r>
          </w:p>
        </w:tc>
      </w:tr>
      <w:tr w:rsidR="00CB3F47" w:rsidRPr="00FC27C2" w14:paraId="5E91E2FC" w14:textId="77777777" w:rsidTr="00FC27C2">
        <w:tc>
          <w:tcPr>
            <w:tcW w:w="2340" w:type="dxa"/>
            <w:shd w:val="clear" w:color="auto" w:fill="auto"/>
          </w:tcPr>
          <w:p w14:paraId="5FFC7893" w14:textId="77777777" w:rsidR="00CB3F47" w:rsidRPr="00CB3F47" w:rsidRDefault="00CB3F47" w:rsidP="00CB3F47">
            <w:pPr>
              <w:pStyle w:val="h1-body"/>
              <w:ind w:left="0"/>
              <w:rPr>
                <w:b/>
              </w:rPr>
            </w:pPr>
            <w:r w:rsidRPr="00CB3F47">
              <w:rPr>
                <w:b/>
              </w:rPr>
              <w:t>Criminal - Individual</w:t>
            </w:r>
          </w:p>
        </w:tc>
        <w:tc>
          <w:tcPr>
            <w:tcW w:w="630" w:type="dxa"/>
            <w:shd w:val="clear" w:color="auto" w:fill="auto"/>
          </w:tcPr>
          <w:p w14:paraId="73AA7D49" w14:textId="77777777" w:rsidR="00CB3F47" w:rsidRPr="00FC27C2" w:rsidRDefault="00CB3F47" w:rsidP="00CB3F47">
            <w:pPr>
              <w:pStyle w:val="h1-body"/>
              <w:ind w:left="0"/>
            </w:pPr>
            <w:r w:rsidRPr="00FC27C2">
              <w:t>X</w:t>
            </w:r>
          </w:p>
        </w:tc>
        <w:tc>
          <w:tcPr>
            <w:tcW w:w="540" w:type="dxa"/>
            <w:shd w:val="clear" w:color="auto" w:fill="auto"/>
          </w:tcPr>
          <w:p w14:paraId="6E954A36" w14:textId="77777777" w:rsidR="00CB3F47" w:rsidRPr="00FC27C2" w:rsidRDefault="00CB3F47" w:rsidP="00CB3F47">
            <w:pPr>
              <w:pStyle w:val="h1-body"/>
              <w:ind w:left="0"/>
            </w:pPr>
            <w:r w:rsidRPr="00FC27C2">
              <w:t>X</w:t>
            </w:r>
          </w:p>
        </w:tc>
        <w:tc>
          <w:tcPr>
            <w:tcW w:w="990" w:type="dxa"/>
            <w:shd w:val="clear" w:color="auto" w:fill="auto"/>
          </w:tcPr>
          <w:p w14:paraId="704CDAA6" w14:textId="77777777" w:rsidR="00CB3F47" w:rsidRPr="00FC27C2" w:rsidRDefault="00CB3F47" w:rsidP="00CB3F47">
            <w:pPr>
              <w:pStyle w:val="h1-body"/>
              <w:ind w:left="0"/>
            </w:pPr>
            <w:r w:rsidRPr="00FC27C2">
              <w:t>X</w:t>
            </w:r>
          </w:p>
        </w:tc>
        <w:tc>
          <w:tcPr>
            <w:tcW w:w="1080" w:type="dxa"/>
            <w:shd w:val="clear" w:color="auto" w:fill="808080" w:themeFill="background1" w:themeFillShade="80"/>
          </w:tcPr>
          <w:p w14:paraId="4F6CF4D6" w14:textId="77777777" w:rsidR="00CB3F47" w:rsidRPr="00FC27C2" w:rsidRDefault="00CB3F47" w:rsidP="00CB3F47">
            <w:pPr>
              <w:pStyle w:val="h1-body"/>
              <w:ind w:left="0"/>
            </w:pPr>
          </w:p>
        </w:tc>
        <w:tc>
          <w:tcPr>
            <w:tcW w:w="1080" w:type="dxa"/>
            <w:shd w:val="clear" w:color="auto" w:fill="808080" w:themeFill="background1" w:themeFillShade="80"/>
          </w:tcPr>
          <w:p w14:paraId="21F98A30" w14:textId="77777777" w:rsidR="00CB3F47" w:rsidRPr="00FC27C2" w:rsidRDefault="00CB3F47" w:rsidP="00CB3F47">
            <w:pPr>
              <w:pStyle w:val="h1-body"/>
              <w:ind w:left="0"/>
            </w:pPr>
          </w:p>
        </w:tc>
        <w:tc>
          <w:tcPr>
            <w:tcW w:w="720" w:type="dxa"/>
            <w:shd w:val="clear" w:color="auto" w:fill="808080" w:themeFill="background1" w:themeFillShade="80"/>
          </w:tcPr>
          <w:p w14:paraId="7D37221C" w14:textId="77777777" w:rsidR="00CB3F47" w:rsidRPr="00FC27C2" w:rsidRDefault="00CB3F47" w:rsidP="00CB3F47">
            <w:pPr>
              <w:pStyle w:val="h1-body"/>
              <w:ind w:left="0"/>
            </w:pPr>
          </w:p>
        </w:tc>
        <w:tc>
          <w:tcPr>
            <w:tcW w:w="2970" w:type="dxa"/>
            <w:shd w:val="clear" w:color="auto" w:fill="auto"/>
          </w:tcPr>
          <w:p w14:paraId="472481BC" w14:textId="77777777" w:rsidR="00CB3F47" w:rsidRPr="00FC27C2" w:rsidRDefault="00CB3F47" w:rsidP="00CB3F47">
            <w:pPr>
              <w:pStyle w:val="h1-body"/>
              <w:ind w:left="0"/>
            </w:pPr>
            <w:r w:rsidRPr="00FC27C2">
              <w:t>LexisNexis, Westlaw or similar</w:t>
            </w:r>
          </w:p>
        </w:tc>
      </w:tr>
      <w:tr w:rsidR="00CB3F47" w:rsidRPr="00FC27C2" w14:paraId="7CDB3E15" w14:textId="77777777" w:rsidTr="00FC27C2">
        <w:tc>
          <w:tcPr>
            <w:tcW w:w="2340" w:type="dxa"/>
            <w:shd w:val="clear" w:color="auto" w:fill="auto"/>
          </w:tcPr>
          <w:p w14:paraId="1DBDC7A6" w14:textId="77777777" w:rsidR="00CB3F47" w:rsidRPr="00CB3F47" w:rsidRDefault="00CB3F47" w:rsidP="00CB3F47">
            <w:pPr>
              <w:pStyle w:val="h1-body"/>
              <w:ind w:left="0"/>
              <w:rPr>
                <w:b/>
              </w:rPr>
            </w:pPr>
            <w:r w:rsidRPr="00CB3F47">
              <w:rPr>
                <w:b/>
              </w:rPr>
              <w:t>Litigation, pending and judgments</w:t>
            </w:r>
          </w:p>
          <w:p w14:paraId="14A0E693" w14:textId="77777777" w:rsidR="00CB3F47" w:rsidRPr="00CB3F47" w:rsidRDefault="00CB3F47" w:rsidP="00CB3F47">
            <w:pPr>
              <w:pStyle w:val="h1-body"/>
              <w:ind w:left="0"/>
              <w:rPr>
                <w:b/>
              </w:rPr>
            </w:pPr>
            <w:r w:rsidRPr="00CB3F47">
              <w:rPr>
                <w:b/>
              </w:rPr>
              <w:t>(Federal and Local)</w:t>
            </w:r>
          </w:p>
        </w:tc>
        <w:tc>
          <w:tcPr>
            <w:tcW w:w="630" w:type="dxa"/>
            <w:shd w:val="clear" w:color="auto" w:fill="auto"/>
          </w:tcPr>
          <w:p w14:paraId="7BBA62E0" w14:textId="77777777" w:rsidR="00CB3F47" w:rsidRPr="00FC27C2" w:rsidRDefault="00CB3F47" w:rsidP="00CB3F47">
            <w:pPr>
              <w:pStyle w:val="h1-body"/>
              <w:ind w:left="0"/>
            </w:pPr>
            <w:r w:rsidRPr="00FC27C2">
              <w:t>X</w:t>
            </w:r>
          </w:p>
        </w:tc>
        <w:tc>
          <w:tcPr>
            <w:tcW w:w="540" w:type="dxa"/>
            <w:shd w:val="clear" w:color="auto" w:fill="auto"/>
          </w:tcPr>
          <w:p w14:paraId="38702489" w14:textId="77777777" w:rsidR="00CB3F47" w:rsidRPr="00FC27C2" w:rsidRDefault="00CB3F47" w:rsidP="00CB3F47">
            <w:pPr>
              <w:pStyle w:val="h1-body"/>
              <w:ind w:left="0"/>
            </w:pPr>
            <w:r w:rsidRPr="00FC27C2">
              <w:t>X</w:t>
            </w:r>
          </w:p>
        </w:tc>
        <w:tc>
          <w:tcPr>
            <w:tcW w:w="990" w:type="dxa"/>
            <w:shd w:val="clear" w:color="auto" w:fill="FFFFFF" w:themeFill="background1"/>
          </w:tcPr>
          <w:p w14:paraId="41366AAB" w14:textId="77777777" w:rsidR="00CB3F47" w:rsidRPr="00FC27C2" w:rsidRDefault="00CB3F47" w:rsidP="00CB3F47">
            <w:pPr>
              <w:pStyle w:val="h1-body"/>
              <w:ind w:left="0"/>
            </w:pPr>
            <w:r w:rsidRPr="00FC27C2">
              <w:t>X</w:t>
            </w:r>
          </w:p>
        </w:tc>
        <w:tc>
          <w:tcPr>
            <w:tcW w:w="1080" w:type="dxa"/>
            <w:shd w:val="clear" w:color="auto" w:fill="808080" w:themeFill="background1" w:themeFillShade="80"/>
          </w:tcPr>
          <w:p w14:paraId="5FA70639" w14:textId="77777777" w:rsidR="00CB3F47" w:rsidRPr="00FC27C2" w:rsidRDefault="00CB3F47" w:rsidP="00CB3F47">
            <w:pPr>
              <w:pStyle w:val="h1-body"/>
              <w:ind w:left="0"/>
            </w:pPr>
          </w:p>
        </w:tc>
        <w:tc>
          <w:tcPr>
            <w:tcW w:w="1080" w:type="dxa"/>
            <w:shd w:val="clear" w:color="auto" w:fill="808080" w:themeFill="background1" w:themeFillShade="80"/>
          </w:tcPr>
          <w:p w14:paraId="25A6AC53" w14:textId="77777777" w:rsidR="00CB3F47" w:rsidRPr="00FC27C2" w:rsidRDefault="00CB3F47" w:rsidP="00CB3F47">
            <w:pPr>
              <w:pStyle w:val="h1-body"/>
              <w:ind w:left="0"/>
            </w:pPr>
          </w:p>
        </w:tc>
        <w:tc>
          <w:tcPr>
            <w:tcW w:w="720" w:type="dxa"/>
            <w:shd w:val="clear" w:color="auto" w:fill="auto"/>
          </w:tcPr>
          <w:p w14:paraId="062DAA0C" w14:textId="77777777" w:rsidR="00CB3F47" w:rsidRPr="00FC27C2" w:rsidRDefault="00CB3F47" w:rsidP="00CB3F47">
            <w:pPr>
              <w:pStyle w:val="h1-body"/>
              <w:ind w:left="0"/>
            </w:pPr>
            <w:r w:rsidRPr="00FC27C2">
              <w:t>X</w:t>
            </w:r>
          </w:p>
        </w:tc>
        <w:tc>
          <w:tcPr>
            <w:tcW w:w="2970" w:type="dxa"/>
            <w:shd w:val="clear" w:color="auto" w:fill="auto"/>
          </w:tcPr>
          <w:p w14:paraId="20E14330" w14:textId="77777777" w:rsidR="00CB3F47" w:rsidRPr="00FC27C2" w:rsidRDefault="00CB3F47" w:rsidP="00CB3F47">
            <w:pPr>
              <w:pStyle w:val="h1-body"/>
              <w:ind w:left="0"/>
            </w:pPr>
            <w:r w:rsidRPr="00FC27C2">
              <w:t>title or search firm, law firm, or similar</w:t>
            </w:r>
          </w:p>
        </w:tc>
      </w:tr>
    </w:tbl>
    <w:p w14:paraId="01E9ADEF" w14:textId="77777777" w:rsidR="00CB3F47" w:rsidRPr="00FC27C2" w:rsidRDefault="00CB3F47" w:rsidP="00CB3F47">
      <w:pPr>
        <w:pStyle w:val="h1-body"/>
      </w:pPr>
    </w:p>
    <w:p w14:paraId="7CC25880" w14:textId="77777777" w:rsidR="00CB3F47" w:rsidRPr="00FC27C2" w:rsidRDefault="00CB3F47" w:rsidP="00CB3F47">
      <w:pPr>
        <w:pStyle w:val="h1-body"/>
      </w:pPr>
      <w:r w:rsidRPr="00FC27C2">
        <w:t>The following requirements apply to the public record searches:</w:t>
      </w:r>
    </w:p>
    <w:p w14:paraId="46CA2CEC" w14:textId="77777777" w:rsidR="00CB3F47" w:rsidRPr="00FC27C2" w:rsidRDefault="00CB3F47" w:rsidP="00CB3F47">
      <w:pPr>
        <w:pStyle w:val="h1-body"/>
      </w:pPr>
    </w:p>
    <w:p w14:paraId="552A4568" w14:textId="7DBD0630" w:rsidR="00CB3F47" w:rsidRPr="00FC27C2" w:rsidRDefault="00CB3F47" w:rsidP="00CB3F47">
      <w:pPr>
        <w:pStyle w:val="h1-body"/>
        <w:numPr>
          <w:ilvl w:val="0"/>
          <w:numId w:val="15"/>
        </w:numPr>
        <w:ind w:left="1800"/>
      </w:pPr>
      <w:r w:rsidRPr="00FC27C2">
        <w:t>Searches on entities formed within 90 days of the loan closing are not required</w:t>
      </w:r>
    </w:p>
    <w:p w14:paraId="51B5814B" w14:textId="77777777" w:rsidR="00CB3F47" w:rsidRPr="00FC27C2" w:rsidRDefault="00CB3F47" w:rsidP="00CB3F47">
      <w:pPr>
        <w:pStyle w:val="h1-body"/>
        <w:ind w:left="1080"/>
      </w:pPr>
    </w:p>
    <w:p w14:paraId="3B2E0445" w14:textId="57A35D2B" w:rsidR="00CB3F47" w:rsidRPr="00FC27C2" w:rsidRDefault="00CB3F47" w:rsidP="00CB3F47">
      <w:pPr>
        <w:pStyle w:val="h1-body"/>
        <w:numPr>
          <w:ilvl w:val="0"/>
          <w:numId w:val="15"/>
        </w:numPr>
        <w:ind w:left="1800"/>
      </w:pPr>
      <w:r w:rsidRPr="00FC27C2">
        <w:lastRenderedPageBreak/>
        <w:t>Property Seller searches are only required for acquisition loans</w:t>
      </w:r>
    </w:p>
    <w:p w14:paraId="6F66A5BA" w14:textId="77777777" w:rsidR="00CB3F47" w:rsidRPr="00FC27C2" w:rsidRDefault="00CB3F47" w:rsidP="00CB3F47">
      <w:pPr>
        <w:pStyle w:val="h1-body"/>
        <w:ind w:left="1080"/>
      </w:pPr>
    </w:p>
    <w:p w14:paraId="4FF0C888" w14:textId="3D6C8B4D" w:rsidR="00CB3F47" w:rsidRPr="00FC27C2" w:rsidRDefault="00CB3F47" w:rsidP="00CB3F47">
      <w:pPr>
        <w:pStyle w:val="h1-body"/>
        <w:numPr>
          <w:ilvl w:val="0"/>
          <w:numId w:val="15"/>
        </w:numPr>
        <w:ind w:left="1800"/>
      </w:pPr>
      <w:r w:rsidRPr="00FC27C2">
        <w:t>Litigation searches for Sellers, if applicable, must be conducted at the following level:</w:t>
      </w:r>
      <w:r>
        <w:br/>
      </w:r>
    </w:p>
    <w:p w14:paraId="6349DBE7" w14:textId="0828DC4C" w:rsidR="00CB3F47" w:rsidRPr="00FC27C2" w:rsidRDefault="00CB3F47" w:rsidP="00CB3F47">
      <w:pPr>
        <w:pStyle w:val="h1-body"/>
        <w:numPr>
          <w:ilvl w:val="0"/>
          <w:numId w:val="16"/>
        </w:numPr>
      </w:pPr>
      <w:r w:rsidRPr="00FC27C2">
        <w:t>Federal</w:t>
      </w:r>
      <w:r>
        <w:br/>
      </w:r>
    </w:p>
    <w:p w14:paraId="2386063C" w14:textId="77777777" w:rsidR="00CB3F47" w:rsidRPr="00FC27C2" w:rsidRDefault="00CB3F47" w:rsidP="00CB3F47">
      <w:pPr>
        <w:pStyle w:val="h1-body"/>
        <w:numPr>
          <w:ilvl w:val="0"/>
          <w:numId w:val="16"/>
        </w:numPr>
      </w:pPr>
      <w:r w:rsidRPr="00FC27C2">
        <w:t>Local – county or city of Mortgaged Property</w:t>
      </w:r>
    </w:p>
    <w:p w14:paraId="67A9F30D" w14:textId="77777777" w:rsidR="00CB3F47" w:rsidRPr="00FC27C2" w:rsidRDefault="00CB3F47" w:rsidP="00CB3F47">
      <w:pPr>
        <w:pStyle w:val="h1-body"/>
        <w:ind w:left="1080"/>
      </w:pPr>
    </w:p>
    <w:p w14:paraId="7DDE2FF5" w14:textId="518FBB18" w:rsidR="00CB3F47" w:rsidRPr="00FC27C2" w:rsidRDefault="00CB3F47" w:rsidP="00CB3F47">
      <w:pPr>
        <w:pStyle w:val="h1-body"/>
        <w:numPr>
          <w:ilvl w:val="0"/>
          <w:numId w:val="15"/>
        </w:numPr>
        <w:ind w:left="1800"/>
      </w:pPr>
      <w:r w:rsidRPr="00FC27C2">
        <w:t>Litigation searches for Borrowers must be conducted at the following levels:</w:t>
      </w:r>
      <w:r w:rsidR="000F6D24">
        <w:br/>
      </w:r>
    </w:p>
    <w:p w14:paraId="4FE2BBF8" w14:textId="12097AE3" w:rsidR="00CB3F47" w:rsidRPr="00FC27C2" w:rsidRDefault="00CB3F47" w:rsidP="000F6D24">
      <w:pPr>
        <w:pStyle w:val="h1-body"/>
        <w:numPr>
          <w:ilvl w:val="0"/>
          <w:numId w:val="17"/>
        </w:numPr>
      </w:pPr>
      <w:r w:rsidRPr="00FC27C2">
        <w:t>Federal</w:t>
      </w:r>
      <w:r w:rsidR="000F6D24">
        <w:br/>
      </w:r>
    </w:p>
    <w:p w14:paraId="4851FD93" w14:textId="10BC10EA" w:rsidR="00CB3F47" w:rsidRPr="00FC27C2" w:rsidRDefault="00CB3F47" w:rsidP="000F6D24">
      <w:pPr>
        <w:pStyle w:val="h1-body"/>
        <w:numPr>
          <w:ilvl w:val="0"/>
          <w:numId w:val="17"/>
        </w:numPr>
      </w:pPr>
      <w:r w:rsidRPr="00FC27C2">
        <w:t>Local – county or city (of primary residence for individuals) (of registered office for entities)</w:t>
      </w:r>
      <w:r w:rsidR="000F6D24">
        <w:br/>
      </w:r>
    </w:p>
    <w:p w14:paraId="0C79BA23" w14:textId="77777777" w:rsidR="00CB3F47" w:rsidRPr="00FC27C2" w:rsidRDefault="00CB3F47" w:rsidP="000F6D24">
      <w:pPr>
        <w:pStyle w:val="h1-body"/>
        <w:numPr>
          <w:ilvl w:val="0"/>
          <w:numId w:val="17"/>
        </w:numPr>
      </w:pPr>
      <w:r w:rsidRPr="00FC27C2">
        <w:t>If a refinance, county or city of Mortgaged Property if different from county or city of primary residence</w:t>
      </w:r>
    </w:p>
    <w:p w14:paraId="34E67A00" w14:textId="77777777" w:rsidR="00CB3F47" w:rsidRPr="00FC27C2" w:rsidRDefault="00CB3F47" w:rsidP="00CB3F47">
      <w:pPr>
        <w:pStyle w:val="h1-body"/>
        <w:ind w:left="1080"/>
      </w:pPr>
    </w:p>
    <w:p w14:paraId="08E32F11" w14:textId="32B5534A" w:rsidR="00CB3F47" w:rsidRPr="00FC27C2" w:rsidRDefault="00CB3F47" w:rsidP="00CB3F47">
      <w:pPr>
        <w:pStyle w:val="h1-body"/>
        <w:numPr>
          <w:ilvl w:val="0"/>
          <w:numId w:val="15"/>
        </w:numPr>
        <w:ind w:left="1800"/>
      </w:pPr>
      <w:r w:rsidRPr="00FC27C2">
        <w:t>Litigation searches for Borrower Principals, including guarantors, must be conducted at the following levels:</w:t>
      </w:r>
      <w:r w:rsidR="000F6D24">
        <w:br/>
      </w:r>
    </w:p>
    <w:p w14:paraId="0E914338" w14:textId="71490909" w:rsidR="00CB3F47" w:rsidRPr="00FC27C2" w:rsidRDefault="00CB3F47" w:rsidP="000F6D24">
      <w:pPr>
        <w:pStyle w:val="h1-body"/>
        <w:numPr>
          <w:ilvl w:val="0"/>
          <w:numId w:val="18"/>
        </w:numPr>
      </w:pPr>
      <w:r w:rsidRPr="00FC27C2">
        <w:t>Federal</w:t>
      </w:r>
      <w:r w:rsidR="000F6D24">
        <w:br/>
      </w:r>
    </w:p>
    <w:p w14:paraId="75CC7CFA" w14:textId="77777777" w:rsidR="00CB3F47" w:rsidRPr="00FC27C2" w:rsidRDefault="00CB3F47" w:rsidP="000F6D24">
      <w:pPr>
        <w:pStyle w:val="h1-body"/>
        <w:numPr>
          <w:ilvl w:val="0"/>
          <w:numId w:val="18"/>
        </w:numPr>
      </w:pPr>
      <w:r w:rsidRPr="00FC27C2">
        <w:t>Local – county or city (of primary residence for individuals) (of registered office for entities)</w:t>
      </w:r>
    </w:p>
    <w:p w14:paraId="40E38785" w14:textId="77777777" w:rsidR="00CB3F47" w:rsidRPr="00FC27C2" w:rsidRDefault="00CB3F47" w:rsidP="00CB3F47">
      <w:pPr>
        <w:pStyle w:val="h1-body"/>
      </w:pPr>
    </w:p>
    <w:p w14:paraId="424AD76D" w14:textId="23821DD0" w:rsidR="007073CC" w:rsidRPr="00CB3F47" w:rsidRDefault="007073CC" w:rsidP="00CB3F47">
      <w:pPr>
        <w:pStyle w:val="h1-body"/>
      </w:pPr>
    </w:p>
    <w:sectPr w:rsidR="007073CC" w:rsidRPr="00CB3F47" w:rsidSect="007073C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5CC87" w14:textId="77777777" w:rsidR="004B41D4" w:rsidRDefault="004B41D4" w:rsidP="007073CC">
      <w:r>
        <w:separator/>
      </w:r>
    </w:p>
  </w:endnote>
  <w:endnote w:type="continuationSeparator" w:id="0">
    <w:p w14:paraId="7942281B" w14:textId="77777777" w:rsidR="004B41D4" w:rsidRDefault="004B41D4" w:rsidP="007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F103" w14:textId="77777777" w:rsidR="00996564" w:rsidRDefault="00996564" w:rsidP="000A10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CA70D" w14:textId="77777777" w:rsidR="00996564" w:rsidRDefault="00996564" w:rsidP="00CF5F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3F86" w14:textId="2A2015D5" w:rsidR="00996564" w:rsidRPr="001B068F" w:rsidRDefault="00A86995" w:rsidP="00A86995">
    <w:pPr>
      <w:tabs>
        <w:tab w:val="right" w:pos="9360"/>
      </w:tabs>
      <w:ind w:left="0" w:right="360"/>
      <w:rPr>
        <w:rFonts w:ascii="Arial" w:hAnsi="Arial" w:cs="Arial"/>
      </w:rPr>
    </w:pPr>
    <w:r>
      <w:rPr>
        <w:rFonts w:ascii="Arial" w:hAnsi="Arial" w:cs="Arial"/>
      </w:rPr>
      <w:t xml:space="preserve">Chapter 18SBL, Page </w:t>
    </w:r>
    <w:r w:rsidRPr="00A86995">
      <w:rPr>
        <w:rFonts w:ascii="Arial" w:hAnsi="Arial" w:cs="Arial"/>
      </w:rPr>
      <w:fldChar w:fldCharType="begin"/>
    </w:r>
    <w:r w:rsidRPr="00A86995">
      <w:rPr>
        <w:rFonts w:ascii="Arial" w:hAnsi="Arial" w:cs="Arial"/>
      </w:rPr>
      <w:instrText xml:space="preserve"> PAGE   \* MERGEFORMAT </w:instrText>
    </w:r>
    <w:r w:rsidRPr="00A86995">
      <w:rPr>
        <w:rFonts w:ascii="Arial" w:hAnsi="Arial" w:cs="Arial"/>
      </w:rPr>
      <w:fldChar w:fldCharType="separate"/>
    </w:r>
    <w:r w:rsidR="00973EAB">
      <w:rPr>
        <w:rFonts w:ascii="Arial" w:hAnsi="Arial" w:cs="Arial"/>
        <w:noProof/>
      </w:rPr>
      <w:t>14</w:t>
    </w:r>
    <w:r w:rsidRPr="00A86995">
      <w:rPr>
        <w:rFonts w:ascii="Arial" w:hAnsi="Arial" w:cs="Arial"/>
        <w:noProof/>
      </w:rPr>
      <w:fldChar w:fldCharType="end"/>
    </w:r>
    <w:r>
      <w:rPr>
        <w:rFonts w:ascii="Arial" w:hAnsi="Arial" w:cs="Arial"/>
        <w:noProof/>
      </w:rPr>
      <w:t xml:space="preserve"> (December 14,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8BF0" w14:textId="77777777" w:rsidR="004B41D4" w:rsidRDefault="004B41D4" w:rsidP="007073CC">
      <w:r>
        <w:separator/>
      </w:r>
    </w:p>
  </w:footnote>
  <w:footnote w:type="continuationSeparator" w:id="0">
    <w:p w14:paraId="453BD00B" w14:textId="77777777" w:rsidR="004B41D4" w:rsidRDefault="004B41D4" w:rsidP="0070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C3D0A" w14:textId="77777777" w:rsidR="00996564" w:rsidRPr="00785923" w:rsidRDefault="00996564" w:rsidP="007073CC">
    <w:pPr>
      <w:pStyle w:val="Header"/>
      <w:jc w:val="right"/>
      <w:rPr>
        <w:rFonts w:ascii="Arial" w:hAnsi="Arial" w:cs="Arial"/>
        <w:b/>
        <w:color w:val="44546A" w:themeColor="text2"/>
        <w:sz w:val="32"/>
        <w:szCs w:val="32"/>
      </w:rPr>
    </w:pPr>
    <w:r>
      <w:rPr>
        <w:noProof/>
      </w:rPr>
      <w:drawing>
        <wp:anchor distT="0" distB="0" distL="114300" distR="114300" simplePos="0" relativeHeight="251661312" behindDoc="0" locked="0" layoutInCell="1" allowOverlap="1" wp14:anchorId="6BC46DCE" wp14:editId="69B55BA3">
          <wp:simplePos x="0" y="0"/>
          <wp:positionH relativeFrom="column">
            <wp:posOffset>-212725</wp:posOffset>
          </wp:positionH>
          <wp:positionV relativeFrom="paragraph">
            <wp:posOffset>-335280</wp:posOffset>
          </wp:positionV>
          <wp:extent cx="2386584" cy="11155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584" cy="11155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5923">
      <w:rPr>
        <w:rFonts w:ascii="Arial" w:hAnsi="Arial" w:cs="Arial"/>
        <w:b/>
        <w:sz w:val="32"/>
        <w:szCs w:val="32"/>
      </w:rPr>
      <w:t>Multifamily Seller/Servicer Guide</w:t>
    </w:r>
  </w:p>
  <w:p w14:paraId="233E96DB" w14:textId="1A1E1A7A" w:rsidR="00996564" w:rsidRDefault="00996564" w:rsidP="00C3240C">
    <w:pPr>
      <w:spacing w:after="240"/>
      <w:jc w:val="right"/>
      <w:rPr>
        <w:rFonts w:ascii="Arial" w:hAnsi="Arial" w:cs="Arial"/>
        <w:b/>
      </w:rPr>
    </w:pPr>
    <w:r w:rsidRPr="00785923">
      <w:rPr>
        <w:rFonts w:ascii="Arial" w:hAnsi="Arial" w:cs="Arial"/>
        <w:b/>
        <w:sz w:val="28"/>
        <w:szCs w:val="28"/>
      </w:rPr>
      <w:t xml:space="preserve">Chapter </w:t>
    </w:r>
    <w:r w:rsidR="00CB3F47">
      <w:rPr>
        <w:rFonts w:ascii="Arial" w:hAnsi="Arial" w:cs="Arial"/>
        <w:b/>
        <w:sz w:val="28"/>
        <w:szCs w:val="28"/>
      </w:rPr>
      <w:t>18</w:t>
    </w:r>
    <w:r w:rsidR="005F37FD">
      <w:rPr>
        <w:rFonts w:ascii="Arial" w:hAnsi="Arial" w:cs="Arial"/>
        <w:b/>
        <w:sz w:val="28"/>
        <w:szCs w:val="28"/>
      </w:rPr>
      <w:t>SBL</w:t>
    </w:r>
    <w:r w:rsidRPr="00C92460">
      <w:rPr>
        <w:rFonts w:ascii="Arial" w:hAnsi="Arial" w:cs="Arial"/>
        <w:b/>
      </w:rPr>
      <w:br/>
    </w:r>
    <w:r w:rsidR="00CB3F47">
      <w:rPr>
        <w:rFonts w:ascii="Arial" w:hAnsi="Arial" w:cs="Arial"/>
        <w:b/>
      </w:rPr>
      <w:t>Originating an SBL Mortgage</w:t>
    </w:r>
    <w:r>
      <w:rPr>
        <w:rFonts w:ascii="Arial" w:hAnsi="Arial" w:cs="Arial"/>
        <w:b/>
      </w:rPr>
      <w:br/>
    </w:r>
  </w:p>
  <w:p w14:paraId="332E0A87" w14:textId="77777777" w:rsidR="00996564" w:rsidRPr="00CF5F34" w:rsidRDefault="00996564" w:rsidP="00CF5F34">
    <w:pPr>
      <w:spacing w:after="240"/>
      <w:jc w:val="right"/>
      <w:rPr>
        <w:rFonts w:ascii="Arial" w:hAnsi="Arial" w:cs="Arial"/>
        <w:b/>
      </w:rPr>
    </w:pPr>
    <w:r w:rsidRPr="009075B4">
      <w:rPr>
        <w:noProof/>
        <w:sz w:val="20"/>
      </w:rPr>
      <mc:AlternateContent>
        <mc:Choice Requires="wps">
          <w:drawing>
            <wp:anchor distT="0" distB="0" distL="114300" distR="114300" simplePos="0" relativeHeight="251663360" behindDoc="0" locked="0" layoutInCell="1" allowOverlap="1" wp14:anchorId="6D897A51" wp14:editId="4E266A2A">
              <wp:simplePos x="0" y="0"/>
              <wp:positionH relativeFrom="margin">
                <wp:posOffset>-151130</wp:posOffset>
              </wp:positionH>
              <wp:positionV relativeFrom="paragraph">
                <wp:posOffset>93345</wp:posOffset>
              </wp:positionV>
              <wp:extent cx="6339840" cy="7620"/>
              <wp:effectExtent l="19050" t="38100" r="41910" b="495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9840" cy="76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47A1AC" id="Line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9pt,7.35pt" to="487.3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" strokeweight="6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A90"/>
    <w:multiLevelType w:val="hybridMultilevel"/>
    <w:tmpl w:val="BBECCD3C"/>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 w15:restartNumberingAfterBreak="0">
    <w:nsid w:val="189258AB"/>
    <w:multiLevelType w:val="hybridMultilevel"/>
    <w:tmpl w:val="CC2E7828"/>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 w15:restartNumberingAfterBreak="0">
    <w:nsid w:val="19E17C31"/>
    <w:multiLevelType w:val="hybridMultilevel"/>
    <w:tmpl w:val="83F251C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5D64CC5"/>
    <w:multiLevelType w:val="hybridMultilevel"/>
    <w:tmpl w:val="AD367CF0"/>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4" w15:restartNumberingAfterBreak="0">
    <w:nsid w:val="28950EE5"/>
    <w:multiLevelType w:val="multilevel"/>
    <w:tmpl w:val="BD1E9A6E"/>
    <w:lvl w:ilvl="0">
      <w:start w:val="1"/>
      <w:numFmt w:val="none"/>
      <w:lvlText w:val=""/>
      <w:lvlJc w:val="left"/>
      <w:pPr>
        <w:ind w:left="360" w:hanging="360"/>
      </w:pPr>
      <w:rPr>
        <w:rFonts w:hint="default"/>
      </w:rPr>
    </w:lvl>
    <w:lvl w:ilvl="1">
      <w:start w:val="1"/>
      <w:numFmt w:val="decimal"/>
      <w:pStyle w:val="Heading1"/>
      <w:lvlText w:val="18SBL%1.%2"/>
      <w:lvlJc w:val="left"/>
      <w:pPr>
        <w:ind w:left="1440" w:hanging="1440"/>
      </w:pPr>
      <w:rPr>
        <w:rFonts w:hint="default"/>
      </w:rPr>
    </w:lvl>
    <w:lvl w:ilvl="2">
      <w:start w:val="1"/>
      <w:numFmt w:val="lowerLetter"/>
      <w:pStyle w:val="Heading2"/>
      <w:lvlText w:val="%3%1."/>
      <w:lvlJc w:val="left"/>
      <w:pPr>
        <w:ind w:left="1944" w:hanging="504"/>
      </w:pPr>
      <w:rPr>
        <w:rFonts w:hint="default"/>
      </w:rPr>
    </w:lvl>
    <w:lvl w:ilvl="3">
      <w:start w:val="1"/>
      <w:numFmt w:val="decimal"/>
      <w:pStyle w:val="Heading3"/>
      <w:lvlText w:val="%4."/>
      <w:lvlJc w:val="left"/>
      <w:pPr>
        <w:ind w:left="1728"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0C7E59"/>
    <w:multiLevelType w:val="hybridMultilevel"/>
    <w:tmpl w:val="4DC27A86"/>
    <w:lvl w:ilvl="0" w:tplc="11CC4062">
      <w:start w:val="2"/>
      <w:numFmt w:val="decimal"/>
      <w:lvlText w:val="%1."/>
      <w:lvlJc w:val="left"/>
      <w:pPr>
        <w:tabs>
          <w:tab w:val="num" w:pos="1080"/>
        </w:tabs>
        <w:ind w:left="1080" w:hanging="360"/>
      </w:pPr>
      <w:rPr>
        <w:rFonts w:hint="default"/>
      </w:rPr>
    </w:lvl>
    <w:lvl w:ilvl="1" w:tplc="9AE01822">
      <w:start w:val="1"/>
      <w:numFmt w:val="decimal"/>
      <w:lvlText w:val="%2."/>
      <w:lvlJc w:val="left"/>
      <w:pPr>
        <w:tabs>
          <w:tab w:val="num" w:pos="1440"/>
        </w:tabs>
        <w:ind w:left="1440" w:hanging="360"/>
      </w:pPr>
      <w:rPr>
        <w:rFonts w:hint="default"/>
      </w:rPr>
    </w:lvl>
    <w:lvl w:ilvl="2" w:tplc="F2E28FA8">
      <w:start w:val="1"/>
      <w:numFmt w:val="upperLetter"/>
      <w:pStyle w:val="Heading6"/>
      <w:lvlText w:val="%3."/>
      <w:lvlJc w:val="left"/>
      <w:pPr>
        <w:tabs>
          <w:tab w:val="num" w:pos="1800"/>
        </w:tabs>
        <w:ind w:left="180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9D4614"/>
    <w:multiLevelType w:val="hybridMultilevel"/>
    <w:tmpl w:val="7FA691E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A8C5762"/>
    <w:multiLevelType w:val="hybridMultilevel"/>
    <w:tmpl w:val="17A0A7F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1407AE1"/>
    <w:multiLevelType w:val="hybridMultilevel"/>
    <w:tmpl w:val="9C12E0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CBF7E57"/>
    <w:multiLevelType w:val="multilevel"/>
    <w:tmpl w:val="BD1E9A6E"/>
    <w:lvl w:ilvl="0">
      <w:start w:val="1"/>
      <w:numFmt w:val="none"/>
      <w:lvlText w:val=""/>
      <w:lvlJc w:val="left"/>
      <w:pPr>
        <w:ind w:left="360" w:hanging="360"/>
      </w:pPr>
      <w:rPr>
        <w:rFonts w:hint="default"/>
      </w:rPr>
    </w:lvl>
    <w:lvl w:ilvl="1">
      <w:start w:val="1"/>
      <w:numFmt w:val="decimal"/>
      <w:lvlText w:val="18SBL%1.%2"/>
      <w:lvlJc w:val="left"/>
      <w:pPr>
        <w:ind w:left="1440" w:hanging="1440"/>
      </w:pPr>
      <w:rPr>
        <w:rFonts w:hint="default"/>
      </w:rPr>
    </w:lvl>
    <w:lvl w:ilvl="2">
      <w:start w:val="1"/>
      <w:numFmt w:val="lowerLetter"/>
      <w:lvlText w:val="%3%1."/>
      <w:lvlJc w:val="left"/>
      <w:pPr>
        <w:ind w:left="1944" w:hanging="504"/>
      </w:pPr>
      <w:rPr>
        <w:rFonts w:hint="default"/>
      </w:rPr>
    </w:lvl>
    <w:lvl w:ilvl="3">
      <w:start w:val="1"/>
      <w:numFmt w:val="decimal"/>
      <w:lvlText w:val="%4."/>
      <w:lvlJc w:val="left"/>
      <w:pPr>
        <w:ind w:left="1728"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5A778C"/>
    <w:multiLevelType w:val="hybridMultilevel"/>
    <w:tmpl w:val="1660B7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13347B8"/>
    <w:multiLevelType w:val="hybridMultilevel"/>
    <w:tmpl w:val="235CCC2C"/>
    <w:lvl w:ilvl="0" w:tplc="23B66D42">
      <w:start w:val="1"/>
      <w:numFmt w:val="lowerRoman"/>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2" w15:restartNumberingAfterBreak="0">
    <w:nsid w:val="513B19BF"/>
    <w:multiLevelType w:val="hybridMultilevel"/>
    <w:tmpl w:val="D7FC733C"/>
    <w:lvl w:ilvl="0" w:tplc="0409000F">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3" w15:restartNumberingAfterBreak="0">
    <w:nsid w:val="5CE17165"/>
    <w:multiLevelType w:val="hybridMultilevel"/>
    <w:tmpl w:val="FA32F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ED63F3"/>
    <w:multiLevelType w:val="hybridMultilevel"/>
    <w:tmpl w:val="5CC0A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9B0547B"/>
    <w:multiLevelType w:val="hybridMultilevel"/>
    <w:tmpl w:val="5CE8A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1842FD7"/>
    <w:multiLevelType w:val="hybridMultilevel"/>
    <w:tmpl w:val="F850B72A"/>
    <w:lvl w:ilvl="0" w:tplc="23B66D42">
      <w:start w:val="1"/>
      <w:numFmt w:val="lowerRoman"/>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7" w15:restartNumberingAfterBreak="0">
    <w:nsid w:val="72A5661D"/>
    <w:multiLevelType w:val="hybridMultilevel"/>
    <w:tmpl w:val="43CE842E"/>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AE919FC"/>
    <w:multiLevelType w:val="hybridMultilevel"/>
    <w:tmpl w:val="3A367AF6"/>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9" w15:restartNumberingAfterBreak="0">
    <w:nsid w:val="7EB81FD3"/>
    <w:multiLevelType w:val="hybridMultilevel"/>
    <w:tmpl w:val="4630EFD0"/>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5"/>
  </w:num>
  <w:num w:numId="3">
    <w:abstractNumId w:val="9"/>
  </w:num>
  <w:num w:numId="4">
    <w:abstractNumId w:val="14"/>
  </w:num>
  <w:num w:numId="5">
    <w:abstractNumId w:val="0"/>
  </w:num>
  <w:num w:numId="6">
    <w:abstractNumId w:val="13"/>
  </w:num>
  <w:num w:numId="7">
    <w:abstractNumId w:val="15"/>
  </w:num>
  <w:num w:numId="8">
    <w:abstractNumId w:val="16"/>
  </w:num>
  <w:num w:numId="9">
    <w:abstractNumId w:val="3"/>
  </w:num>
  <w:num w:numId="10">
    <w:abstractNumId w:val="18"/>
  </w:num>
  <w:num w:numId="11">
    <w:abstractNumId w:val="11"/>
  </w:num>
  <w:num w:numId="12">
    <w:abstractNumId w:val="12"/>
  </w:num>
  <w:num w:numId="13">
    <w:abstractNumId w:val="1"/>
  </w:num>
  <w:num w:numId="14">
    <w:abstractNumId w:val="6"/>
  </w:num>
  <w:num w:numId="15">
    <w:abstractNumId w:val="7"/>
  </w:num>
  <w:num w:numId="16">
    <w:abstractNumId w:val="17"/>
  </w:num>
  <w:num w:numId="17">
    <w:abstractNumId w:val="19"/>
  </w:num>
  <w:num w:numId="18">
    <w:abstractNumId w:val="2"/>
  </w:num>
  <w:num w:numId="19">
    <w:abstractNumId w:val="8"/>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54F"/>
    <w:rsid w:val="00001226"/>
    <w:rsid w:val="00012519"/>
    <w:rsid w:val="00026DFD"/>
    <w:rsid w:val="000564AA"/>
    <w:rsid w:val="000A1093"/>
    <w:rsid w:val="000A567A"/>
    <w:rsid w:val="000A7E26"/>
    <w:rsid w:val="000C3FB1"/>
    <w:rsid w:val="000F1508"/>
    <w:rsid w:val="000F6D24"/>
    <w:rsid w:val="00102AAE"/>
    <w:rsid w:val="001278BB"/>
    <w:rsid w:val="001319BB"/>
    <w:rsid w:val="00131A3E"/>
    <w:rsid w:val="001727F7"/>
    <w:rsid w:val="00172E75"/>
    <w:rsid w:val="001747D5"/>
    <w:rsid w:val="00180D09"/>
    <w:rsid w:val="001B068F"/>
    <w:rsid w:val="001F57E3"/>
    <w:rsid w:val="00260044"/>
    <w:rsid w:val="00275980"/>
    <w:rsid w:val="002C0B0E"/>
    <w:rsid w:val="00310407"/>
    <w:rsid w:val="00322E3F"/>
    <w:rsid w:val="0038025C"/>
    <w:rsid w:val="00396189"/>
    <w:rsid w:val="003A0884"/>
    <w:rsid w:val="003A1968"/>
    <w:rsid w:val="003B52D4"/>
    <w:rsid w:val="003C7989"/>
    <w:rsid w:val="003C7BC0"/>
    <w:rsid w:val="003C7EF7"/>
    <w:rsid w:val="003D5031"/>
    <w:rsid w:val="00434AB8"/>
    <w:rsid w:val="00434FC7"/>
    <w:rsid w:val="00445ED3"/>
    <w:rsid w:val="00447ED8"/>
    <w:rsid w:val="0045269B"/>
    <w:rsid w:val="004926D9"/>
    <w:rsid w:val="004A1E4C"/>
    <w:rsid w:val="004B41D4"/>
    <w:rsid w:val="004B719F"/>
    <w:rsid w:val="004D54F2"/>
    <w:rsid w:val="004F2DCA"/>
    <w:rsid w:val="005343FD"/>
    <w:rsid w:val="00563DB2"/>
    <w:rsid w:val="005F37FD"/>
    <w:rsid w:val="00601308"/>
    <w:rsid w:val="00627E47"/>
    <w:rsid w:val="00651ED6"/>
    <w:rsid w:val="006920D2"/>
    <w:rsid w:val="0069364D"/>
    <w:rsid w:val="00697FE4"/>
    <w:rsid w:val="006D3EC5"/>
    <w:rsid w:val="006F21EA"/>
    <w:rsid w:val="006F5515"/>
    <w:rsid w:val="007073CC"/>
    <w:rsid w:val="0071240F"/>
    <w:rsid w:val="00733813"/>
    <w:rsid w:val="00742DE6"/>
    <w:rsid w:val="00761BA7"/>
    <w:rsid w:val="007739E8"/>
    <w:rsid w:val="007B6166"/>
    <w:rsid w:val="007D2FB7"/>
    <w:rsid w:val="007D6E20"/>
    <w:rsid w:val="007E0115"/>
    <w:rsid w:val="0083068B"/>
    <w:rsid w:val="00840245"/>
    <w:rsid w:val="008420CA"/>
    <w:rsid w:val="008630EB"/>
    <w:rsid w:val="008722F7"/>
    <w:rsid w:val="00891002"/>
    <w:rsid w:val="008D1399"/>
    <w:rsid w:val="008F069A"/>
    <w:rsid w:val="008F2B1A"/>
    <w:rsid w:val="00920155"/>
    <w:rsid w:val="00920E8D"/>
    <w:rsid w:val="0093354F"/>
    <w:rsid w:val="009448F0"/>
    <w:rsid w:val="00970AC8"/>
    <w:rsid w:val="00973EAB"/>
    <w:rsid w:val="00996564"/>
    <w:rsid w:val="009A3E03"/>
    <w:rsid w:val="009C0F08"/>
    <w:rsid w:val="009D2370"/>
    <w:rsid w:val="00A169B2"/>
    <w:rsid w:val="00A51EBB"/>
    <w:rsid w:val="00A77AF8"/>
    <w:rsid w:val="00A86995"/>
    <w:rsid w:val="00B02D6B"/>
    <w:rsid w:val="00B04CAE"/>
    <w:rsid w:val="00B619B6"/>
    <w:rsid w:val="00B66DAD"/>
    <w:rsid w:val="00B852F7"/>
    <w:rsid w:val="00BA28E0"/>
    <w:rsid w:val="00BA40DB"/>
    <w:rsid w:val="00BC22C5"/>
    <w:rsid w:val="00BD0947"/>
    <w:rsid w:val="00BE58A0"/>
    <w:rsid w:val="00BF698F"/>
    <w:rsid w:val="00C07A03"/>
    <w:rsid w:val="00C11F25"/>
    <w:rsid w:val="00C3240C"/>
    <w:rsid w:val="00C35ADB"/>
    <w:rsid w:val="00CB3F47"/>
    <w:rsid w:val="00CF5F34"/>
    <w:rsid w:val="00CF6AD3"/>
    <w:rsid w:val="00CF7AD5"/>
    <w:rsid w:val="00D14636"/>
    <w:rsid w:val="00DA32B8"/>
    <w:rsid w:val="00DA4CB3"/>
    <w:rsid w:val="00DB5E05"/>
    <w:rsid w:val="00DF1B6B"/>
    <w:rsid w:val="00E527CE"/>
    <w:rsid w:val="00E73927"/>
    <w:rsid w:val="00EC3E34"/>
    <w:rsid w:val="00ED06F3"/>
    <w:rsid w:val="00EE60E0"/>
    <w:rsid w:val="00EF238B"/>
    <w:rsid w:val="00EF4CAC"/>
    <w:rsid w:val="00EF55A8"/>
    <w:rsid w:val="00F034C9"/>
    <w:rsid w:val="00F44AD4"/>
    <w:rsid w:val="00F945C4"/>
    <w:rsid w:val="00FB4E61"/>
    <w:rsid w:val="00FE1BDF"/>
    <w:rsid w:val="00FF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80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93354F"/>
    <w:pPr>
      <w:ind w:left="1224"/>
    </w:pPr>
  </w:style>
  <w:style w:type="paragraph" w:styleId="Heading1">
    <w:name w:val="heading 1"/>
    <w:basedOn w:val="Normal"/>
    <w:next w:val="h1-body"/>
    <w:link w:val="Heading1Char"/>
    <w:qFormat/>
    <w:rsid w:val="00BA40DB"/>
    <w:pPr>
      <w:keepNext/>
      <w:numPr>
        <w:ilvl w:val="1"/>
        <w:numId w:val="1"/>
      </w:numPr>
      <w:spacing w:after="240"/>
      <w:outlineLvl w:val="0"/>
    </w:pPr>
    <w:rPr>
      <w:rFonts w:ascii="Arial" w:hAnsi="Arial" w:cs="Arial"/>
      <w:b/>
      <w:sz w:val="28"/>
      <w:szCs w:val="28"/>
    </w:rPr>
  </w:style>
  <w:style w:type="paragraph" w:styleId="Heading2">
    <w:name w:val="heading 2"/>
    <w:basedOn w:val="ListParagraph"/>
    <w:next w:val="h2-body"/>
    <w:link w:val="Heading2Char"/>
    <w:unhideWhenUsed/>
    <w:qFormat/>
    <w:rsid w:val="00733813"/>
    <w:pPr>
      <w:keepNext/>
      <w:numPr>
        <w:ilvl w:val="2"/>
        <w:numId w:val="1"/>
      </w:numPr>
      <w:spacing w:after="240"/>
      <w:outlineLvl w:val="1"/>
    </w:pPr>
    <w:rPr>
      <w:rFonts w:ascii="Arial" w:hAnsi="Arial" w:cs="Arial"/>
      <w:b/>
    </w:rPr>
  </w:style>
  <w:style w:type="paragraph" w:styleId="Heading3">
    <w:name w:val="heading 3"/>
    <w:basedOn w:val="Heading2"/>
    <w:next w:val="Normal"/>
    <w:link w:val="Heading3Char"/>
    <w:unhideWhenUsed/>
    <w:qFormat/>
    <w:rsid w:val="0093354F"/>
    <w:pPr>
      <w:numPr>
        <w:ilvl w:val="3"/>
      </w:numPr>
      <w:outlineLvl w:val="2"/>
    </w:pPr>
    <w:rPr>
      <w:b w:val="0"/>
      <w:color w:val="2F5496" w:themeColor="accent1" w:themeShade="BF"/>
    </w:rPr>
  </w:style>
  <w:style w:type="paragraph" w:styleId="Heading4">
    <w:name w:val="heading 4"/>
    <w:basedOn w:val="Normal"/>
    <w:next w:val="Normal"/>
    <w:link w:val="Heading4Char"/>
    <w:uiPriority w:val="9"/>
    <w:qFormat/>
    <w:rsid w:val="004926D9"/>
    <w:pPr>
      <w:keepNext/>
      <w:ind w:left="0"/>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4926D9"/>
    <w:pPr>
      <w:keepNext/>
      <w:ind w:left="1800" w:hanging="360"/>
      <w:outlineLvl w:val="4"/>
    </w:pPr>
    <w:rPr>
      <w:rFonts w:ascii="Times New Roman" w:eastAsia="Times New Roman" w:hAnsi="Times New Roman" w:cs="Times New Roman"/>
    </w:rPr>
  </w:style>
  <w:style w:type="paragraph" w:styleId="Heading6">
    <w:name w:val="heading 6"/>
    <w:basedOn w:val="Normal"/>
    <w:next w:val="Normal"/>
    <w:link w:val="Heading6Char"/>
    <w:qFormat/>
    <w:rsid w:val="00B619B6"/>
    <w:pPr>
      <w:keepNext/>
      <w:numPr>
        <w:ilvl w:val="2"/>
        <w:numId w:val="2"/>
      </w:numPr>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body">
    <w:name w:val="h1-body"/>
    <w:qFormat/>
    <w:rsid w:val="0045269B"/>
    <w:pPr>
      <w:ind w:left="1440"/>
    </w:pPr>
    <w:rPr>
      <w:rFonts w:ascii="Arial" w:hAnsi="Arial" w:cs="Arial"/>
    </w:rPr>
  </w:style>
  <w:style w:type="character" w:customStyle="1" w:styleId="Heading1Char">
    <w:name w:val="Heading 1 Char"/>
    <w:basedOn w:val="DefaultParagraphFont"/>
    <w:link w:val="Heading1"/>
    <w:rsid w:val="00BA40DB"/>
    <w:rPr>
      <w:rFonts w:ascii="Arial" w:hAnsi="Arial" w:cs="Arial"/>
      <w:b/>
      <w:sz w:val="28"/>
      <w:szCs w:val="28"/>
    </w:rPr>
  </w:style>
  <w:style w:type="paragraph" w:styleId="ListParagraph">
    <w:name w:val="List Paragraph"/>
    <w:basedOn w:val="Normal"/>
    <w:uiPriority w:val="34"/>
    <w:qFormat/>
    <w:rsid w:val="0093354F"/>
    <w:pPr>
      <w:ind w:left="720"/>
      <w:contextualSpacing/>
    </w:pPr>
  </w:style>
  <w:style w:type="paragraph" w:customStyle="1" w:styleId="h2-body">
    <w:name w:val="h2-body"/>
    <w:basedOn w:val="Normal"/>
    <w:qFormat/>
    <w:rsid w:val="0045269B"/>
    <w:pPr>
      <w:ind w:left="1944"/>
    </w:pPr>
    <w:rPr>
      <w:rFonts w:ascii="Arial" w:hAnsi="Arial" w:cs="Arial"/>
    </w:rPr>
  </w:style>
  <w:style w:type="character" w:customStyle="1" w:styleId="Heading2Char">
    <w:name w:val="Heading 2 Char"/>
    <w:basedOn w:val="DefaultParagraphFont"/>
    <w:link w:val="Heading2"/>
    <w:rsid w:val="00733813"/>
    <w:rPr>
      <w:rFonts w:ascii="Arial" w:hAnsi="Arial" w:cs="Arial"/>
      <w:b/>
    </w:rPr>
  </w:style>
  <w:style w:type="character" w:customStyle="1" w:styleId="Heading3Char">
    <w:name w:val="Heading 3 Char"/>
    <w:basedOn w:val="DefaultParagraphFont"/>
    <w:link w:val="Heading3"/>
    <w:rsid w:val="0093354F"/>
    <w:rPr>
      <w:rFonts w:ascii="Arial" w:hAnsi="Arial" w:cs="Arial"/>
      <w:color w:val="2F5496" w:themeColor="accent1" w:themeShade="BF"/>
    </w:rPr>
  </w:style>
  <w:style w:type="character" w:customStyle="1" w:styleId="Heading4Char">
    <w:name w:val="Heading 4 Char"/>
    <w:basedOn w:val="DefaultParagraphFont"/>
    <w:link w:val="Heading4"/>
    <w:uiPriority w:val="9"/>
    <w:rsid w:val="004926D9"/>
    <w:rPr>
      <w:rFonts w:ascii="Times New Roman" w:eastAsia="Times New Roman" w:hAnsi="Times New Roman" w:cs="Times New Roman"/>
      <w:b/>
      <w:bCs/>
    </w:rPr>
  </w:style>
  <w:style w:type="character" w:customStyle="1" w:styleId="Heading5Char">
    <w:name w:val="Heading 5 Char"/>
    <w:basedOn w:val="DefaultParagraphFont"/>
    <w:link w:val="Heading5"/>
    <w:rsid w:val="004926D9"/>
    <w:rPr>
      <w:rFonts w:ascii="Times New Roman" w:eastAsia="Times New Roman" w:hAnsi="Times New Roman" w:cs="Times New Roman"/>
    </w:rPr>
  </w:style>
  <w:style w:type="paragraph" w:styleId="Title">
    <w:name w:val="Title"/>
    <w:basedOn w:val="Normal"/>
    <w:next w:val="Normal"/>
    <w:link w:val="TitleChar"/>
    <w:uiPriority w:val="10"/>
    <w:qFormat/>
    <w:rsid w:val="00BA28E0"/>
    <w:pPr>
      <w:spacing w:after="240"/>
      <w:ind w:left="0"/>
      <w:contextualSpacing/>
    </w:pPr>
    <w:rPr>
      <w:rFonts w:ascii="Arial" w:eastAsiaTheme="majorEastAsia" w:hAnsi="Arial" w:cs="Arial"/>
      <w:b/>
      <w:spacing w:val="-10"/>
      <w:kern w:val="28"/>
      <w:sz w:val="28"/>
      <w:szCs w:val="28"/>
    </w:rPr>
  </w:style>
  <w:style w:type="character" w:customStyle="1" w:styleId="TitleChar">
    <w:name w:val="Title Char"/>
    <w:basedOn w:val="DefaultParagraphFont"/>
    <w:link w:val="Title"/>
    <w:uiPriority w:val="10"/>
    <w:rsid w:val="00BA28E0"/>
    <w:rPr>
      <w:rFonts w:ascii="Arial" w:eastAsiaTheme="majorEastAsia" w:hAnsi="Arial" w:cs="Arial"/>
      <w:b/>
      <w:spacing w:val="-10"/>
      <w:kern w:val="28"/>
      <w:sz w:val="28"/>
      <w:szCs w:val="28"/>
    </w:rPr>
  </w:style>
  <w:style w:type="paragraph" w:styleId="BodyText">
    <w:name w:val="Body Text"/>
    <w:basedOn w:val="Normal"/>
    <w:link w:val="BodyTextChar"/>
    <w:semiHidden/>
    <w:unhideWhenUsed/>
    <w:rsid w:val="000F1508"/>
    <w:pPr>
      <w:spacing w:after="120"/>
    </w:pPr>
  </w:style>
  <w:style w:type="character" w:customStyle="1" w:styleId="BodyTextChar">
    <w:name w:val="Body Text Char"/>
    <w:basedOn w:val="DefaultParagraphFont"/>
    <w:link w:val="BodyText"/>
    <w:semiHidden/>
    <w:rsid w:val="000F1508"/>
  </w:style>
  <w:style w:type="paragraph" w:styleId="Header">
    <w:name w:val="header"/>
    <w:basedOn w:val="Normal"/>
    <w:link w:val="HeaderChar"/>
    <w:uiPriority w:val="99"/>
    <w:unhideWhenUsed/>
    <w:rsid w:val="007073CC"/>
    <w:pPr>
      <w:tabs>
        <w:tab w:val="center" w:pos="4680"/>
        <w:tab w:val="right" w:pos="9360"/>
      </w:tabs>
    </w:pPr>
  </w:style>
  <w:style w:type="character" w:customStyle="1" w:styleId="HeaderChar">
    <w:name w:val="Header Char"/>
    <w:basedOn w:val="DefaultParagraphFont"/>
    <w:link w:val="Header"/>
    <w:uiPriority w:val="99"/>
    <w:rsid w:val="007073CC"/>
  </w:style>
  <w:style w:type="paragraph" w:styleId="Footer">
    <w:name w:val="footer"/>
    <w:basedOn w:val="Normal"/>
    <w:link w:val="FooterChar"/>
    <w:uiPriority w:val="99"/>
    <w:unhideWhenUsed/>
    <w:rsid w:val="007073CC"/>
    <w:pPr>
      <w:tabs>
        <w:tab w:val="center" w:pos="4680"/>
        <w:tab w:val="right" w:pos="9360"/>
      </w:tabs>
    </w:pPr>
  </w:style>
  <w:style w:type="character" w:customStyle="1" w:styleId="FooterChar">
    <w:name w:val="Footer Char"/>
    <w:basedOn w:val="DefaultParagraphFont"/>
    <w:link w:val="Footer"/>
    <w:uiPriority w:val="99"/>
    <w:rsid w:val="007073CC"/>
  </w:style>
  <w:style w:type="character" w:styleId="PageNumber">
    <w:name w:val="page number"/>
    <w:basedOn w:val="DefaultParagraphFont"/>
    <w:uiPriority w:val="99"/>
    <w:semiHidden/>
    <w:unhideWhenUsed/>
    <w:rsid w:val="00CF5F34"/>
  </w:style>
  <w:style w:type="paragraph" w:styleId="BodyTextIndent">
    <w:name w:val="Body Text Indent"/>
    <w:basedOn w:val="Normal"/>
    <w:link w:val="BodyTextIndentChar"/>
    <w:semiHidden/>
    <w:unhideWhenUsed/>
    <w:rsid w:val="001278BB"/>
    <w:pPr>
      <w:spacing w:after="120"/>
      <w:ind w:left="360"/>
    </w:pPr>
  </w:style>
  <w:style w:type="character" w:customStyle="1" w:styleId="BodyTextIndentChar">
    <w:name w:val="Body Text Indent Char"/>
    <w:basedOn w:val="DefaultParagraphFont"/>
    <w:link w:val="BodyTextIndent"/>
    <w:semiHidden/>
    <w:rsid w:val="001278BB"/>
  </w:style>
  <w:style w:type="paragraph" w:customStyle="1" w:styleId="ChapterName">
    <w:name w:val="Chapter Name"/>
    <w:basedOn w:val="Heading1"/>
    <w:rsid w:val="001278BB"/>
    <w:pPr>
      <w:numPr>
        <w:ilvl w:val="0"/>
        <w:numId w:val="0"/>
      </w:numPr>
      <w:pBdr>
        <w:bottom w:val="single" w:sz="8" w:space="1" w:color="000000"/>
      </w:pBdr>
      <w:tabs>
        <w:tab w:val="left" w:pos="720"/>
      </w:tabs>
      <w:spacing w:before="240" w:after="360"/>
      <w:jc w:val="right"/>
    </w:pPr>
    <w:rPr>
      <w:rFonts w:eastAsia="Times New Roman"/>
      <w:bCs/>
      <w:szCs w:val="26"/>
    </w:rPr>
  </w:style>
  <w:style w:type="paragraph" w:styleId="BodyTextIndent2">
    <w:name w:val="Body Text Indent 2"/>
    <w:basedOn w:val="Normal"/>
    <w:link w:val="BodyTextIndent2Char"/>
    <w:semiHidden/>
    <w:unhideWhenUsed/>
    <w:rsid w:val="000A1093"/>
    <w:pPr>
      <w:spacing w:after="120" w:line="480" w:lineRule="auto"/>
      <w:ind w:left="360"/>
    </w:pPr>
  </w:style>
  <w:style w:type="character" w:customStyle="1" w:styleId="BodyTextIndent2Char">
    <w:name w:val="Body Text Indent 2 Char"/>
    <w:basedOn w:val="DefaultParagraphFont"/>
    <w:link w:val="BodyTextIndent2"/>
    <w:semiHidden/>
    <w:rsid w:val="000A1093"/>
  </w:style>
  <w:style w:type="paragraph" w:styleId="BodyTextIndent3">
    <w:name w:val="Body Text Indent 3"/>
    <w:basedOn w:val="Normal"/>
    <w:link w:val="BodyTextIndent3Char"/>
    <w:semiHidden/>
    <w:unhideWhenUsed/>
    <w:rsid w:val="000A1093"/>
    <w:pPr>
      <w:spacing w:after="120"/>
      <w:ind w:left="360"/>
    </w:pPr>
    <w:rPr>
      <w:sz w:val="16"/>
      <w:szCs w:val="16"/>
    </w:rPr>
  </w:style>
  <w:style w:type="character" w:customStyle="1" w:styleId="BodyTextIndent3Char">
    <w:name w:val="Body Text Indent 3 Char"/>
    <w:basedOn w:val="DefaultParagraphFont"/>
    <w:link w:val="BodyTextIndent3"/>
    <w:semiHidden/>
    <w:rsid w:val="000A1093"/>
    <w:rPr>
      <w:sz w:val="16"/>
      <w:szCs w:val="16"/>
    </w:rPr>
  </w:style>
  <w:style w:type="paragraph" w:styleId="BalloonText">
    <w:name w:val="Balloon Text"/>
    <w:basedOn w:val="Normal"/>
    <w:link w:val="BalloonTextChar"/>
    <w:semiHidden/>
    <w:unhideWhenUsed/>
    <w:rsid w:val="000A1093"/>
    <w:pPr>
      <w:ind w:left="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A1093"/>
    <w:rPr>
      <w:rFonts w:ascii="Tahoma" w:eastAsia="Times New Roman" w:hAnsi="Tahoma" w:cs="Tahoma"/>
      <w:sz w:val="16"/>
      <w:szCs w:val="16"/>
    </w:rPr>
  </w:style>
  <w:style w:type="paragraph" w:styleId="CommentText">
    <w:name w:val="annotation text"/>
    <w:basedOn w:val="Normal"/>
    <w:link w:val="CommentTextChar"/>
    <w:uiPriority w:val="99"/>
    <w:unhideWhenUsed/>
    <w:rsid w:val="000A1093"/>
    <w:pPr>
      <w:ind w:left="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A10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1093"/>
    <w:rPr>
      <w:b/>
      <w:bCs/>
    </w:rPr>
  </w:style>
  <w:style w:type="character" w:customStyle="1" w:styleId="CommentSubjectChar">
    <w:name w:val="Comment Subject Char"/>
    <w:basedOn w:val="CommentTextChar"/>
    <w:link w:val="CommentSubject"/>
    <w:uiPriority w:val="99"/>
    <w:semiHidden/>
    <w:rsid w:val="000A1093"/>
    <w:rPr>
      <w:rFonts w:ascii="Times New Roman" w:eastAsia="Times New Roman" w:hAnsi="Times New Roman" w:cs="Times New Roman"/>
      <w:b/>
      <w:bCs/>
      <w:sz w:val="20"/>
      <w:szCs w:val="20"/>
    </w:rPr>
  </w:style>
  <w:style w:type="paragraph" w:styleId="Revision">
    <w:name w:val="Revision"/>
    <w:hidden/>
    <w:uiPriority w:val="99"/>
    <w:semiHidden/>
    <w:rsid w:val="000A1093"/>
    <w:rPr>
      <w:rFonts w:ascii="Times New Roman" w:eastAsia="Times New Roman" w:hAnsi="Times New Roman" w:cs="Times New Roman"/>
    </w:rPr>
  </w:style>
  <w:style w:type="character" w:customStyle="1" w:styleId="DeltaViewInsertion">
    <w:name w:val="DeltaView Insertion"/>
    <w:rsid w:val="000A1093"/>
    <w:rPr>
      <w:color w:val="0000FF"/>
      <w:spacing w:val="0"/>
      <w:u w:val="double"/>
    </w:rPr>
  </w:style>
  <w:style w:type="paragraph" w:customStyle="1" w:styleId="Default">
    <w:name w:val="Default"/>
    <w:rsid w:val="000A1093"/>
    <w:pPr>
      <w:autoSpaceDE w:val="0"/>
      <w:autoSpaceDN w:val="0"/>
      <w:adjustRightInd w:val="0"/>
    </w:pPr>
    <w:rPr>
      <w:rFonts w:ascii="Arial" w:hAnsi="Arial" w:cs="Arial"/>
      <w:color w:val="000000"/>
    </w:rPr>
  </w:style>
  <w:style w:type="character" w:styleId="Hyperlink">
    <w:name w:val="Hyperlink"/>
    <w:basedOn w:val="DefaultParagraphFont"/>
    <w:unhideWhenUsed/>
    <w:rsid w:val="004926D9"/>
    <w:rPr>
      <w:color w:val="0563C1" w:themeColor="hyperlink"/>
      <w:u w:val="single"/>
    </w:rPr>
  </w:style>
  <w:style w:type="table" w:styleId="TableGrid">
    <w:name w:val="Table Grid"/>
    <w:basedOn w:val="TableNormal"/>
    <w:uiPriority w:val="39"/>
    <w:rsid w:val="004926D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A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DeltaViewMoveDestination">
    <w:name w:val="DeltaView Move Destination"/>
    <w:rsid w:val="00CF6AD3"/>
    <w:rPr>
      <w:color w:val="00C000"/>
      <w:spacing w:val="0"/>
      <w:u w:val="double"/>
    </w:rPr>
  </w:style>
  <w:style w:type="character" w:customStyle="1" w:styleId="Heading6Char">
    <w:name w:val="Heading 6 Char"/>
    <w:basedOn w:val="DefaultParagraphFont"/>
    <w:link w:val="Heading6"/>
    <w:rsid w:val="00B619B6"/>
    <w:rPr>
      <w:rFonts w:ascii="Times New Roman" w:eastAsia="Times New Roman" w:hAnsi="Times New Roman" w:cs="Times New Roman"/>
      <w:b/>
      <w:bCs/>
    </w:rPr>
  </w:style>
  <w:style w:type="paragraph" w:styleId="BodyText2">
    <w:name w:val="Body Text 2"/>
    <w:basedOn w:val="Normal"/>
    <w:link w:val="BodyText2Char"/>
    <w:semiHidden/>
    <w:rsid w:val="00B619B6"/>
    <w:pPr>
      <w:keepNext/>
      <w:ind w:left="0"/>
      <w:jc w:val="center"/>
      <w:outlineLvl w:val="0"/>
    </w:pPr>
    <w:rPr>
      <w:rFonts w:ascii="Times New Roman" w:eastAsia="Times New Roman" w:hAnsi="Times New Roman" w:cs="Times New Roman"/>
      <w:b/>
      <w:bCs/>
    </w:rPr>
  </w:style>
  <w:style w:type="character" w:customStyle="1" w:styleId="BodyText2Char">
    <w:name w:val="Body Text 2 Char"/>
    <w:basedOn w:val="DefaultParagraphFont"/>
    <w:link w:val="BodyText2"/>
    <w:semiHidden/>
    <w:rsid w:val="00B619B6"/>
    <w:rPr>
      <w:rFonts w:ascii="Times New Roman" w:eastAsia="Times New Roman" w:hAnsi="Times New Roman" w:cs="Times New Roman"/>
      <w:b/>
      <w:bCs/>
    </w:rPr>
  </w:style>
  <w:style w:type="character" w:styleId="CommentReference">
    <w:name w:val="annotation reference"/>
    <w:basedOn w:val="DefaultParagraphFont"/>
    <w:uiPriority w:val="99"/>
    <w:unhideWhenUsed/>
    <w:rsid w:val="00B619B6"/>
    <w:rPr>
      <w:sz w:val="16"/>
      <w:szCs w:val="16"/>
    </w:rPr>
  </w:style>
  <w:style w:type="paragraph" w:styleId="NormalWeb">
    <w:name w:val="Normal (Web)"/>
    <w:basedOn w:val="Normal"/>
    <w:semiHidden/>
    <w:rsid w:val="00B619B6"/>
    <w:pPr>
      <w:spacing w:before="100" w:beforeAutospacing="1" w:after="100" w:afterAutospacing="1"/>
      <w:ind w:left="0"/>
    </w:pPr>
    <w:rPr>
      <w:rFonts w:ascii="Arial Unicode MS" w:eastAsia="Arial Unicode MS" w:hAnsi="Arial Unicode MS" w:cs="Arial Unicode MS"/>
    </w:rPr>
  </w:style>
  <w:style w:type="character" w:customStyle="1" w:styleId="inlistitem">
    <w:name w:val="inlistitem"/>
    <w:basedOn w:val="DefaultParagraphFont"/>
    <w:rsid w:val="00B619B6"/>
  </w:style>
  <w:style w:type="paragraph" w:customStyle="1" w:styleId="FRECommERLAStyle">
    <w:name w:val="FRECommERLAStyle"/>
    <w:rsid w:val="00CB3F47"/>
    <w:rPr>
      <w:rFonts w:ascii="Times New Roman" w:eastAsia="Times New Roman" w:hAnsi="Times New Roman" w:cs="Times New Roman"/>
      <w:szCs w:val="20"/>
    </w:rPr>
  </w:style>
  <w:style w:type="character" w:customStyle="1" w:styleId="t2315">
    <w:name w:val="t2315"/>
    <w:basedOn w:val="DefaultParagraphFont"/>
    <w:rsid w:val="00CB3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20852">
      <w:bodyDiv w:val="1"/>
      <w:marLeft w:val="0"/>
      <w:marRight w:val="0"/>
      <w:marTop w:val="0"/>
      <w:marBottom w:val="0"/>
      <w:divBdr>
        <w:top w:val="none" w:sz="0" w:space="0" w:color="auto"/>
        <w:left w:val="none" w:sz="0" w:space="0" w:color="auto"/>
        <w:bottom w:val="none" w:sz="0" w:space="0" w:color="auto"/>
        <w:right w:val="none" w:sz="0" w:space="0" w:color="auto"/>
      </w:divBdr>
    </w:div>
    <w:div w:id="1191991807">
      <w:bodyDiv w:val="1"/>
      <w:marLeft w:val="0"/>
      <w:marRight w:val="0"/>
      <w:marTop w:val="0"/>
      <w:marBottom w:val="0"/>
      <w:divBdr>
        <w:top w:val="none" w:sz="0" w:space="0" w:color="auto"/>
        <w:left w:val="none" w:sz="0" w:space="0" w:color="auto"/>
        <w:bottom w:val="none" w:sz="0" w:space="0" w:color="auto"/>
        <w:right w:val="none" w:sz="0" w:space="0" w:color="auto"/>
      </w:divBdr>
    </w:div>
    <w:div w:id="1681808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76A64B-2305-4BED-B28A-7327C57D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4250</Words>
  <Characters>24228</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Holmgren</dc:creator>
  <cp:keywords/>
  <dc:description/>
  <cp:lastModifiedBy>Chamberlain, Jennifer</cp:lastModifiedBy>
  <cp:revision>2</cp:revision>
  <dcterms:created xsi:type="dcterms:W3CDTF">2019-03-29T16:14:00Z</dcterms:created>
  <dcterms:modified xsi:type="dcterms:W3CDTF">2019-03-29T16:14:00Z</dcterms:modified>
  <cp:contentStatus/>
</cp:coreProperties>
</file>