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D64E" w14:textId="77777777" w:rsidR="00507B57" w:rsidRPr="001F6829" w:rsidRDefault="00507B57" w:rsidP="00507B57">
      <w:pPr>
        <w:pStyle w:val="BodyMain"/>
        <w:jc w:val="center"/>
        <w:rPr>
          <w:rFonts w:ascii="Arial" w:hAnsi="Arial" w:cs="Arial"/>
          <w:b/>
          <w:szCs w:val="24"/>
        </w:rPr>
      </w:pPr>
      <w:r w:rsidRPr="001F6829">
        <w:rPr>
          <w:rFonts w:ascii="Arial" w:hAnsi="Arial" w:cs="Arial"/>
          <w:b/>
          <w:szCs w:val="24"/>
        </w:rPr>
        <w:t>O</w:t>
      </w:r>
      <w:r w:rsidR="001F6829">
        <w:rPr>
          <w:rFonts w:ascii="Arial" w:hAnsi="Arial" w:cs="Arial"/>
          <w:b/>
          <w:szCs w:val="24"/>
        </w:rPr>
        <w:t>pinion</w:t>
      </w:r>
      <w:r w:rsidRPr="001F6829">
        <w:rPr>
          <w:rFonts w:ascii="Arial" w:hAnsi="Arial" w:cs="Arial"/>
          <w:b/>
          <w:szCs w:val="24"/>
        </w:rPr>
        <w:t xml:space="preserve"> L</w:t>
      </w:r>
      <w:r w:rsidR="001F6829">
        <w:rPr>
          <w:rFonts w:ascii="Arial" w:hAnsi="Arial" w:cs="Arial"/>
          <w:b/>
          <w:szCs w:val="24"/>
        </w:rPr>
        <w:t>etter</w:t>
      </w:r>
      <w:r w:rsidRPr="001F6829">
        <w:rPr>
          <w:rFonts w:ascii="Arial" w:hAnsi="Arial" w:cs="Arial"/>
          <w:b/>
          <w:szCs w:val="24"/>
        </w:rPr>
        <w:t xml:space="preserve"> G</w:t>
      </w:r>
      <w:r w:rsidR="001F6829">
        <w:rPr>
          <w:rFonts w:ascii="Arial" w:hAnsi="Arial" w:cs="Arial"/>
          <w:b/>
          <w:szCs w:val="24"/>
        </w:rPr>
        <w:t>uidelines</w:t>
      </w:r>
    </w:p>
    <w:p w14:paraId="2F1D4FAB" w14:textId="77777777" w:rsidR="00DC0504" w:rsidRPr="001F6829" w:rsidRDefault="00507B57" w:rsidP="001F6829">
      <w:pPr>
        <w:pStyle w:val="BodyMain"/>
        <w:spacing w:before="0"/>
        <w:jc w:val="center"/>
        <w:rPr>
          <w:rFonts w:ascii="Arial" w:hAnsi="Arial" w:cs="Arial"/>
          <w:bCs/>
          <w:sz w:val="20"/>
        </w:rPr>
      </w:pPr>
      <w:r w:rsidRPr="001F6829">
        <w:rPr>
          <w:rFonts w:ascii="Arial" w:hAnsi="Arial" w:cs="Arial"/>
          <w:bCs/>
          <w:sz w:val="20"/>
        </w:rPr>
        <w:t xml:space="preserve">(Revised </w:t>
      </w:r>
      <w:r w:rsidR="00DC0504" w:rsidRPr="001F6829">
        <w:rPr>
          <w:rFonts w:ascii="Arial" w:hAnsi="Arial" w:cs="Arial"/>
          <w:bCs/>
          <w:sz w:val="20"/>
        </w:rPr>
        <w:t>10</w:t>
      </w:r>
      <w:r w:rsidR="001025D5" w:rsidRPr="001F6829">
        <w:rPr>
          <w:rFonts w:ascii="Arial" w:hAnsi="Arial" w:cs="Arial"/>
          <w:bCs/>
          <w:sz w:val="20"/>
        </w:rPr>
        <w:t>-</w:t>
      </w:r>
      <w:r w:rsidR="00DC0504" w:rsidRPr="001F6829">
        <w:rPr>
          <w:rFonts w:ascii="Arial" w:hAnsi="Arial" w:cs="Arial"/>
          <w:bCs/>
          <w:sz w:val="20"/>
        </w:rPr>
        <w:t>10</w:t>
      </w:r>
      <w:r w:rsidR="001025D5" w:rsidRPr="001F6829">
        <w:rPr>
          <w:rFonts w:ascii="Arial" w:hAnsi="Arial" w:cs="Arial"/>
          <w:bCs/>
          <w:sz w:val="20"/>
        </w:rPr>
        <w:t>-20</w:t>
      </w:r>
      <w:r w:rsidR="00DC0504" w:rsidRPr="001F6829">
        <w:rPr>
          <w:rFonts w:ascii="Arial" w:hAnsi="Arial" w:cs="Arial"/>
          <w:bCs/>
          <w:sz w:val="20"/>
        </w:rPr>
        <w:t>23</w:t>
      </w:r>
      <w:r w:rsidRPr="001F6829">
        <w:rPr>
          <w:rFonts w:ascii="Arial" w:hAnsi="Arial" w:cs="Arial"/>
          <w:bCs/>
          <w:sz w:val="20"/>
        </w:rPr>
        <w:t>)</w:t>
      </w:r>
    </w:p>
    <w:p w14:paraId="12862B17" w14:textId="77777777" w:rsidR="00DF66E7" w:rsidRPr="001F6829" w:rsidRDefault="00DF66E7" w:rsidP="001F6829">
      <w:pPr>
        <w:pStyle w:val="BodyMain"/>
        <w:jc w:val="center"/>
        <w:rPr>
          <w:rFonts w:ascii="Arial" w:hAnsi="Arial" w:cs="Arial"/>
        </w:rPr>
      </w:pPr>
    </w:p>
    <w:p w14:paraId="402FCE46" w14:textId="77777777" w:rsidR="00DF66E7" w:rsidRPr="007F50C7" w:rsidRDefault="00DC0504" w:rsidP="001F6829">
      <w:pPr>
        <w:pStyle w:val="BodyMain"/>
        <w:tabs>
          <w:tab w:val="left" w:pos="0"/>
        </w:tabs>
        <w:spacing w:before="0"/>
        <w:jc w:val="left"/>
        <w:rPr>
          <w:rFonts w:ascii="Arial" w:hAnsi="Arial" w:cs="Arial"/>
          <w:sz w:val="20"/>
        </w:rPr>
      </w:pPr>
      <w:r w:rsidRPr="007F50C7">
        <w:rPr>
          <w:rFonts w:ascii="Arial" w:hAnsi="Arial" w:cs="Arial"/>
          <w:sz w:val="20"/>
          <w:u w:val="single"/>
        </w:rPr>
        <w:t>Modifications to Form Opinion</w:t>
      </w:r>
      <w:r w:rsidRPr="007F50C7">
        <w:rPr>
          <w:rFonts w:ascii="Arial" w:hAnsi="Arial" w:cs="Arial"/>
          <w:sz w:val="20"/>
        </w:rPr>
        <w:t xml:space="preserve">:  </w:t>
      </w:r>
      <w:r w:rsidR="00DF66E7" w:rsidRPr="007F50C7">
        <w:rPr>
          <w:rFonts w:ascii="Arial" w:hAnsi="Arial" w:cs="Arial"/>
          <w:sz w:val="20"/>
        </w:rPr>
        <w:t xml:space="preserve">Seller may accept modifications to the form of Opinion Letter without Freddie Mac’s prior review and written consent to such changes, provided that (i) Seller remains able to make the warranties contained in Guide Section 5.2(c), (ii) Borrower and Guarantor meet the requirements of Guide Section 9.7, (iii) the opinion requirements contained in Guide Section </w:t>
      </w:r>
      <w:r w:rsidRPr="007F50C7">
        <w:rPr>
          <w:rFonts w:ascii="Arial" w:hAnsi="Arial" w:cs="Arial"/>
          <w:sz w:val="20"/>
        </w:rPr>
        <w:t xml:space="preserve">29.5 </w:t>
      </w:r>
      <w:r w:rsidR="00DF66E7" w:rsidRPr="007F50C7">
        <w:rPr>
          <w:rFonts w:ascii="Arial" w:hAnsi="Arial" w:cs="Arial"/>
          <w:sz w:val="20"/>
        </w:rPr>
        <w:t>are satisfied, and (iv) Seller’s counsel is able to make the opinion certifications required by the Seller’s Counsel’s Certification form.</w:t>
      </w:r>
    </w:p>
    <w:p w14:paraId="050920C2" w14:textId="77777777" w:rsidR="00DC0504" w:rsidRPr="007F50C7" w:rsidRDefault="00DC0504" w:rsidP="001F6829">
      <w:pPr>
        <w:pStyle w:val="BodyMain"/>
        <w:spacing w:before="0"/>
        <w:jc w:val="left"/>
        <w:rPr>
          <w:rFonts w:ascii="Arial" w:hAnsi="Arial" w:cs="Arial"/>
          <w:sz w:val="20"/>
          <w:u w:val="single"/>
        </w:rPr>
      </w:pPr>
    </w:p>
    <w:p w14:paraId="4A3A7756" w14:textId="77777777" w:rsidR="00507B57" w:rsidRPr="007F50C7" w:rsidRDefault="00507B57" w:rsidP="001F6829">
      <w:pPr>
        <w:pStyle w:val="BodyMain"/>
        <w:spacing w:before="0"/>
        <w:jc w:val="left"/>
        <w:rPr>
          <w:rFonts w:ascii="Arial" w:hAnsi="Arial" w:cs="Arial"/>
          <w:b/>
          <w:sz w:val="20"/>
        </w:rPr>
      </w:pPr>
      <w:r w:rsidRPr="007F50C7">
        <w:rPr>
          <w:rFonts w:ascii="Arial" w:hAnsi="Arial" w:cs="Arial"/>
          <w:sz w:val="20"/>
          <w:u w:val="single"/>
        </w:rPr>
        <w:t>In-House Counsel</w:t>
      </w:r>
      <w:r w:rsidRPr="007F50C7">
        <w:rPr>
          <w:rFonts w:ascii="Arial" w:hAnsi="Arial" w:cs="Arial"/>
          <w:sz w:val="20"/>
        </w:rPr>
        <w:t>:  Only the following opinions may be given by the applicable party’s in-house counsel; all other opinions must be given by the party’s outside counsel:</w:t>
      </w:r>
    </w:p>
    <w:p w14:paraId="4000F54F" w14:textId="77777777" w:rsidR="00507B57" w:rsidRPr="007F50C7" w:rsidRDefault="00507B57" w:rsidP="00507B57">
      <w:pPr>
        <w:pStyle w:val="BodyMain"/>
        <w:spacing w:before="0"/>
        <w:jc w:val="left"/>
        <w:rPr>
          <w:rFonts w:ascii="Arial" w:hAnsi="Arial" w:cs="Arial"/>
          <w:b/>
          <w:sz w:val="20"/>
        </w:rPr>
      </w:pPr>
    </w:p>
    <w:p w14:paraId="7FCFB415" w14:textId="77777777" w:rsidR="00FF1005" w:rsidRPr="007F50C7" w:rsidRDefault="00FF1005" w:rsidP="00FF1005">
      <w:pPr>
        <w:pStyle w:val="BodyMain"/>
        <w:spacing w:before="0"/>
        <w:ind w:left="720"/>
        <w:jc w:val="left"/>
        <w:rPr>
          <w:rFonts w:ascii="Arial" w:hAnsi="Arial" w:cs="Arial"/>
          <w:b/>
          <w:sz w:val="20"/>
        </w:rPr>
      </w:pPr>
      <w:r w:rsidRPr="007F50C7">
        <w:rPr>
          <w:rFonts w:ascii="Arial" w:hAnsi="Arial" w:cs="Arial"/>
          <w:b/>
          <w:sz w:val="20"/>
        </w:rPr>
        <w:t>Borrower Opinion Letter:</w:t>
      </w:r>
    </w:p>
    <w:p w14:paraId="5E3C8868" w14:textId="77777777" w:rsidR="00FF1005" w:rsidRPr="007F50C7" w:rsidRDefault="00FF1005" w:rsidP="00507B57">
      <w:pPr>
        <w:pStyle w:val="BodyMain"/>
        <w:spacing w:before="0"/>
        <w:jc w:val="left"/>
        <w:rPr>
          <w:rFonts w:ascii="Arial" w:hAnsi="Arial" w:cs="Arial"/>
          <w:b/>
          <w:sz w:val="20"/>
        </w:rPr>
      </w:pPr>
    </w:p>
    <w:p w14:paraId="5349E482" w14:textId="77777777" w:rsidR="00507B57" w:rsidRPr="007F50C7" w:rsidRDefault="00507B57" w:rsidP="00FF1005">
      <w:pPr>
        <w:pStyle w:val="ListParagraph"/>
        <w:numPr>
          <w:ilvl w:val="0"/>
          <w:numId w:val="1"/>
        </w:numPr>
        <w:ind w:left="1080"/>
        <w:rPr>
          <w:rFonts w:ascii="Arial" w:hAnsi="Arial" w:cs="Arial"/>
          <w:sz w:val="20"/>
          <w:szCs w:val="20"/>
        </w:rPr>
      </w:pPr>
      <w:r w:rsidRPr="007F50C7">
        <w:rPr>
          <w:rFonts w:ascii="Arial" w:hAnsi="Arial" w:cs="Arial"/>
          <w:sz w:val="20"/>
          <w:szCs w:val="20"/>
        </w:rPr>
        <w:t>#1 [Borrower’s due formation, valid existence, good standing]</w:t>
      </w:r>
    </w:p>
    <w:p w14:paraId="54D02A30" w14:textId="77777777" w:rsidR="00507B57" w:rsidRPr="007F50C7" w:rsidRDefault="00507B57" w:rsidP="00FF1005">
      <w:pPr>
        <w:pStyle w:val="ListParagraph"/>
        <w:numPr>
          <w:ilvl w:val="0"/>
          <w:numId w:val="1"/>
        </w:numPr>
        <w:ind w:left="1080"/>
        <w:rPr>
          <w:rFonts w:ascii="Arial" w:hAnsi="Arial" w:cs="Arial"/>
          <w:sz w:val="20"/>
          <w:szCs w:val="20"/>
        </w:rPr>
      </w:pPr>
      <w:r w:rsidRPr="007F50C7">
        <w:rPr>
          <w:rFonts w:ascii="Arial" w:hAnsi="Arial" w:cs="Arial"/>
          <w:sz w:val="20"/>
          <w:szCs w:val="20"/>
        </w:rPr>
        <w:t>#3 [Borrower’s power and authority]</w:t>
      </w:r>
    </w:p>
    <w:p w14:paraId="50EF60E8" w14:textId="77777777" w:rsidR="00507B57" w:rsidRPr="007F50C7" w:rsidRDefault="00507B57" w:rsidP="00FF1005">
      <w:pPr>
        <w:pStyle w:val="ListParagraph"/>
        <w:numPr>
          <w:ilvl w:val="0"/>
          <w:numId w:val="1"/>
        </w:numPr>
        <w:tabs>
          <w:tab w:val="left" w:pos="1080"/>
        </w:tabs>
        <w:ind w:left="1440" w:right="-360" w:hanging="720"/>
        <w:rPr>
          <w:rFonts w:ascii="Arial" w:hAnsi="Arial" w:cs="Arial"/>
          <w:sz w:val="20"/>
          <w:szCs w:val="20"/>
        </w:rPr>
      </w:pPr>
      <w:r w:rsidRPr="007F50C7">
        <w:rPr>
          <w:rFonts w:ascii="Arial" w:hAnsi="Arial" w:cs="Arial"/>
          <w:sz w:val="20"/>
          <w:szCs w:val="20"/>
        </w:rPr>
        <w:t xml:space="preserve">#4 [SPE Equity Owner’s due formation, valid </w:t>
      </w:r>
      <w:r w:rsidR="00FF1005" w:rsidRPr="007F50C7">
        <w:rPr>
          <w:rFonts w:ascii="Arial" w:hAnsi="Arial" w:cs="Arial"/>
          <w:sz w:val="20"/>
          <w:szCs w:val="20"/>
        </w:rPr>
        <w:t xml:space="preserve">existence, good standing, power, </w:t>
      </w:r>
      <w:r w:rsidRPr="007F50C7">
        <w:rPr>
          <w:rFonts w:ascii="Arial" w:hAnsi="Arial" w:cs="Arial"/>
          <w:sz w:val="20"/>
          <w:szCs w:val="20"/>
        </w:rPr>
        <w:t>authority]</w:t>
      </w:r>
    </w:p>
    <w:p w14:paraId="0A658C96" w14:textId="77777777" w:rsidR="00507B57" w:rsidRPr="007F50C7" w:rsidRDefault="00507B57" w:rsidP="00FF1005">
      <w:pPr>
        <w:pStyle w:val="ListParagraph"/>
        <w:numPr>
          <w:ilvl w:val="0"/>
          <w:numId w:val="1"/>
        </w:numPr>
        <w:tabs>
          <w:tab w:val="left" w:pos="1080"/>
        </w:tabs>
        <w:ind w:left="1440" w:right="-270" w:hanging="720"/>
        <w:rPr>
          <w:rFonts w:ascii="Arial" w:hAnsi="Arial" w:cs="Arial"/>
          <w:sz w:val="20"/>
          <w:szCs w:val="20"/>
        </w:rPr>
      </w:pPr>
      <w:r w:rsidRPr="007F50C7">
        <w:rPr>
          <w:rFonts w:ascii="Arial" w:hAnsi="Arial" w:cs="Arial"/>
          <w:sz w:val="20"/>
          <w:szCs w:val="20"/>
        </w:rPr>
        <w:t>#6 [General Partner’s due formation, valid existence, good standing, power</w:t>
      </w:r>
      <w:r w:rsidR="00FF1005" w:rsidRPr="007F50C7">
        <w:rPr>
          <w:rFonts w:ascii="Arial" w:hAnsi="Arial" w:cs="Arial"/>
          <w:sz w:val="20"/>
          <w:szCs w:val="20"/>
        </w:rPr>
        <w:t>,</w:t>
      </w:r>
      <w:r w:rsidRPr="007F50C7">
        <w:rPr>
          <w:rFonts w:ascii="Arial" w:hAnsi="Arial" w:cs="Arial"/>
          <w:sz w:val="20"/>
          <w:szCs w:val="20"/>
        </w:rPr>
        <w:t xml:space="preserve"> authority]</w:t>
      </w:r>
    </w:p>
    <w:p w14:paraId="74CF03F9" w14:textId="77777777" w:rsidR="00507B57" w:rsidRPr="007F50C7" w:rsidRDefault="00507B57" w:rsidP="00FF1005">
      <w:pPr>
        <w:pStyle w:val="ListParagraph"/>
        <w:numPr>
          <w:ilvl w:val="0"/>
          <w:numId w:val="1"/>
        </w:numPr>
        <w:ind w:left="1080"/>
        <w:rPr>
          <w:rFonts w:ascii="Arial" w:hAnsi="Arial" w:cs="Arial"/>
          <w:sz w:val="20"/>
          <w:szCs w:val="20"/>
        </w:rPr>
      </w:pPr>
      <w:r w:rsidRPr="007F50C7">
        <w:rPr>
          <w:rFonts w:ascii="Arial" w:hAnsi="Arial" w:cs="Arial"/>
          <w:sz w:val="20"/>
          <w:szCs w:val="20"/>
        </w:rPr>
        <w:t>#8 [Due authorization, execution, delivery]</w:t>
      </w:r>
    </w:p>
    <w:p w14:paraId="44D84B1D" w14:textId="77777777" w:rsidR="00507B57" w:rsidRPr="007F50C7" w:rsidRDefault="00507B57" w:rsidP="00FF1005">
      <w:pPr>
        <w:pStyle w:val="ListParagraph"/>
        <w:numPr>
          <w:ilvl w:val="0"/>
          <w:numId w:val="1"/>
        </w:numPr>
        <w:ind w:left="1080"/>
        <w:rPr>
          <w:rFonts w:ascii="Arial" w:hAnsi="Arial" w:cs="Arial"/>
          <w:sz w:val="20"/>
          <w:szCs w:val="20"/>
        </w:rPr>
      </w:pPr>
      <w:r w:rsidRPr="007F50C7">
        <w:rPr>
          <w:rFonts w:ascii="Arial" w:hAnsi="Arial" w:cs="Arial"/>
          <w:sz w:val="20"/>
          <w:szCs w:val="20"/>
        </w:rPr>
        <w:t>#13 [No conflict with org docs or with laws applicable to borrower]</w:t>
      </w:r>
    </w:p>
    <w:p w14:paraId="38C6617D" w14:textId="77777777" w:rsidR="00507B57" w:rsidRPr="007F50C7" w:rsidRDefault="00507B57" w:rsidP="00FF1005">
      <w:pPr>
        <w:pStyle w:val="ListParagraph"/>
        <w:numPr>
          <w:ilvl w:val="0"/>
          <w:numId w:val="1"/>
        </w:numPr>
        <w:ind w:left="1080"/>
        <w:rPr>
          <w:rFonts w:ascii="Arial" w:hAnsi="Arial" w:cs="Arial"/>
          <w:sz w:val="20"/>
          <w:szCs w:val="20"/>
        </w:rPr>
      </w:pPr>
      <w:r w:rsidRPr="007F50C7">
        <w:rPr>
          <w:rFonts w:ascii="Arial" w:hAnsi="Arial" w:cs="Arial"/>
          <w:sz w:val="20"/>
          <w:szCs w:val="20"/>
        </w:rPr>
        <w:t xml:space="preserve">#14 [No conflict or violation of </w:t>
      </w:r>
      <w:proofErr w:type="spellStart"/>
      <w:r w:rsidRPr="007F50C7">
        <w:rPr>
          <w:rFonts w:ascii="Arial" w:hAnsi="Arial" w:cs="Arial"/>
          <w:sz w:val="20"/>
          <w:szCs w:val="20"/>
        </w:rPr>
        <w:t>misc</w:t>
      </w:r>
      <w:proofErr w:type="spellEnd"/>
      <w:r w:rsidRPr="007F50C7">
        <w:rPr>
          <w:rFonts w:ascii="Arial" w:hAnsi="Arial" w:cs="Arial"/>
          <w:sz w:val="20"/>
          <w:szCs w:val="20"/>
        </w:rPr>
        <w:t xml:space="preserve"> borrower agreements or with judgement]</w:t>
      </w:r>
    </w:p>
    <w:p w14:paraId="2D96DCF7" w14:textId="77777777" w:rsidR="00507B57" w:rsidRPr="007F50C7" w:rsidRDefault="00507B57" w:rsidP="00FF1005">
      <w:pPr>
        <w:pStyle w:val="ListParagraph"/>
        <w:numPr>
          <w:ilvl w:val="0"/>
          <w:numId w:val="1"/>
        </w:numPr>
        <w:ind w:left="1080"/>
        <w:rPr>
          <w:rFonts w:ascii="Arial" w:hAnsi="Arial" w:cs="Arial"/>
          <w:sz w:val="20"/>
          <w:szCs w:val="20"/>
        </w:rPr>
      </w:pPr>
      <w:r w:rsidRPr="007F50C7">
        <w:rPr>
          <w:rFonts w:ascii="Arial" w:hAnsi="Arial" w:cs="Arial"/>
          <w:sz w:val="20"/>
          <w:szCs w:val="20"/>
        </w:rPr>
        <w:t>#15 [No proceedings]</w:t>
      </w:r>
    </w:p>
    <w:p w14:paraId="0FA7C06E" w14:textId="77777777" w:rsidR="00FF1005" w:rsidRPr="007F50C7" w:rsidRDefault="00FF1005" w:rsidP="00BA19CD">
      <w:pPr>
        <w:pStyle w:val="BodyMain"/>
        <w:spacing w:before="0"/>
        <w:ind w:left="720"/>
        <w:jc w:val="left"/>
        <w:rPr>
          <w:rFonts w:ascii="Arial" w:hAnsi="Arial" w:cs="Arial"/>
          <w:b/>
          <w:sz w:val="20"/>
        </w:rPr>
      </w:pPr>
      <w:r w:rsidRPr="007F50C7">
        <w:rPr>
          <w:rFonts w:ascii="Arial" w:hAnsi="Arial" w:cs="Arial"/>
          <w:b/>
          <w:sz w:val="20"/>
        </w:rPr>
        <w:t>Guarantor Opinion Letter:</w:t>
      </w:r>
    </w:p>
    <w:p w14:paraId="318E077D" w14:textId="77777777" w:rsidR="00FF1005" w:rsidRPr="007F50C7" w:rsidRDefault="00FF1005" w:rsidP="00FF1005">
      <w:pPr>
        <w:pStyle w:val="BodyMain"/>
        <w:spacing w:before="0"/>
        <w:jc w:val="left"/>
        <w:rPr>
          <w:rFonts w:ascii="Arial" w:hAnsi="Arial" w:cs="Arial"/>
          <w:b/>
          <w:sz w:val="20"/>
        </w:rPr>
      </w:pPr>
    </w:p>
    <w:p w14:paraId="30C223D9" w14:textId="77777777" w:rsidR="00FF1005" w:rsidRPr="007F50C7" w:rsidRDefault="00FF1005" w:rsidP="00BA19CD">
      <w:pPr>
        <w:pStyle w:val="ListParagraph"/>
        <w:numPr>
          <w:ilvl w:val="0"/>
          <w:numId w:val="1"/>
        </w:numPr>
        <w:ind w:left="1080"/>
        <w:rPr>
          <w:rFonts w:ascii="Arial" w:hAnsi="Arial" w:cs="Arial"/>
          <w:sz w:val="20"/>
          <w:szCs w:val="20"/>
        </w:rPr>
      </w:pPr>
      <w:r w:rsidRPr="007F50C7">
        <w:rPr>
          <w:rFonts w:ascii="Arial" w:hAnsi="Arial" w:cs="Arial"/>
          <w:sz w:val="20"/>
          <w:szCs w:val="20"/>
        </w:rPr>
        <w:t>#1 [Due formation, valid existence, good standing]</w:t>
      </w:r>
    </w:p>
    <w:p w14:paraId="22E602B7" w14:textId="77777777" w:rsidR="00FF1005" w:rsidRPr="007F50C7" w:rsidRDefault="00FF1005" w:rsidP="00BA19CD">
      <w:pPr>
        <w:pStyle w:val="ListParagraph"/>
        <w:numPr>
          <w:ilvl w:val="0"/>
          <w:numId w:val="1"/>
        </w:numPr>
        <w:ind w:left="1080"/>
        <w:rPr>
          <w:rFonts w:ascii="Arial" w:hAnsi="Arial" w:cs="Arial"/>
          <w:sz w:val="20"/>
          <w:szCs w:val="20"/>
        </w:rPr>
      </w:pPr>
      <w:r w:rsidRPr="007F50C7">
        <w:rPr>
          <w:rFonts w:ascii="Arial" w:hAnsi="Arial" w:cs="Arial"/>
          <w:sz w:val="20"/>
          <w:szCs w:val="20"/>
        </w:rPr>
        <w:t>#2 [Power and authority]</w:t>
      </w:r>
    </w:p>
    <w:p w14:paraId="6D02F9E0" w14:textId="77777777" w:rsidR="00FF1005" w:rsidRPr="007F50C7" w:rsidRDefault="00FF1005" w:rsidP="00BA19CD">
      <w:pPr>
        <w:pStyle w:val="ListParagraph"/>
        <w:numPr>
          <w:ilvl w:val="0"/>
          <w:numId w:val="1"/>
        </w:numPr>
        <w:ind w:left="1080"/>
        <w:rPr>
          <w:rFonts w:ascii="Arial" w:hAnsi="Arial" w:cs="Arial"/>
          <w:sz w:val="20"/>
          <w:szCs w:val="20"/>
        </w:rPr>
      </w:pPr>
      <w:r w:rsidRPr="007F50C7">
        <w:rPr>
          <w:rFonts w:ascii="Arial" w:hAnsi="Arial" w:cs="Arial"/>
          <w:sz w:val="20"/>
          <w:szCs w:val="20"/>
        </w:rPr>
        <w:t>#3 [Due authorization]</w:t>
      </w:r>
    </w:p>
    <w:p w14:paraId="2638E696" w14:textId="77777777" w:rsidR="00FF1005" w:rsidRPr="007F50C7" w:rsidRDefault="00FF1005" w:rsidP="00BA19CD">
      <w:pPr>
        <w:pStyle w:val="ListParagraph"/>
        <w:numPr>
          <w:ilvl w:val="0"/>
          <w:numId w:val="1"/>
        </w:numPr>
        <w:ind w:left="1080"/>
        <w:rPr>
          <w:rFonts w:ascii="Arial" w:hAnsi="Arial" w:cs="Arial"/>
          <w:sz w:val="20"/>
          <w:szCs w:val="20"/>
        </w:rPr>
      </w:pPr>
      <w:r w:rsidRPr="007F50C7">
        <w:rPr>
          <w:rFonts w:ascii="Arial" w:hAnsi="Arial" w:cs="Arial"/>
          <w:sz w:val="20"/>
          <w:szCs w:val="20"/>
        </w:rPr>
        <w:t>#4 [Execution and delivery]</w:t>
      </w:r>
    </w:p>
    <w:p w14:paraId="6FF2C4A8" w14:textId="77777777" w:rsidR="00FF1005" w:rsidRPr="007F50C7" w:rsidRDefault="00FF1005" w:rsidP="00BA19CD">
      <w:pPr>
        <w:pStyle w:val="ListParagraph"/>
        <w:numPr>
          <w:ilvl w:val="0"/>
          <w:numId w:val="1"/>
        </w:numPr>
        <w:ind w:left="1080"/>
        <w:rPr>
          <w:rFonts w:ascii="Arial" w:hAnsi="Arial" w:cs="Arial"/>
          <w:sz w:val="20"/>
          <w:szCs w:val="20"/>
        </w:rPr>
      </w:pPr>
      <w:r w:rsidRPr="007F50C7">
        <w:rPr>
          <w:rFonts w:ascii="Arial" w:hAnsi="Arial" w:cs="Arial"/>
          <w:sz w:val="20"/>
          <w:szCs w:val="20"/>
        </w:rPr>
        <w:t>#7 [No conflict with org docs or with laws applicable to guarantor]</w:t>
      </w:r>
    </w:p>
    <w:p w14:paraId="4F6F5BC3" w14:textId="77777777" w:rsidR="00FF1005" w:rsidRPr="007F50C7" w:rsidRDefault="00FF1005" w:rsidP="00BA19CD">
      <w:pPr>
        <w:pStyle w:val="ListParagraph"/>
        <w:numPr>
          <w:ilvl w:val="0"/>
          <w:numId w:val="1"/>
        </w:numPr>
        <w:ind w:left="1080"/>
        <w:rPr>
          <w:rFonts w:ascii="Arial" w:hAnsi="Arial" w:cs="Arial"/>
          <w:sz w:val="20"/>
          <w:szCs w:val="20"/>
        </w:rPr>
      </w:pPr>
      <w:r w:rsidRPr="007F50C7">
        <w:rPr>
          <w:rFonts w:ascii="Arial" w:hAnsi="Arial" w:cs="Arial"/>
          <w:sz w:val="20"/>
          <w:szCs w:val="20"/>
        </w:rPr>
        <w:t xml:space="preserve">#8 [No conflict or violation of </w:t>
      </w:r>
      <w:proofErr w:type="spellStart"/>
      <w:r w:rsidRPr="007F50C7">
        <w:rPr>
          <w:rFonts w:ascii="Arial" w:hAnsi="Arial" w:cs="Arial"/>
          <w:sz w:val="20"/>
          <w:szCs w:val="20"/>
        </w:rPr>
        <w:t>misc</w:t>
      </w:r>
      <w:proofErr w:type="spellEnd"/>
      <w:r w:rsidRPr="007F50C7">
        <w:rPr>
          <w:rFonts w:ascii="Arial" w:hAnsi="Arial" w:cs="Arial"/>
          <w:sz w:val="20"/>
          <w:szCs w:val="20"/>
        </w:rPr>
        <w:t xml:space="preserve"> guarantor agreements or with judgement]</w:t>
      </w:r>
    </w:p>
    <w:p w14:paraId="7E20360E" w14:textId="77777777" w:rsidR="00FF1005" w:rsidRPr="007F50C7" w:rsidRDefault="00FF1005" w:rsidP="00BA19CD">
      <w:pPr>
        <w:pStyle w:val="ListParagraph"/>
        <w:numPr>
          <w:ilvl w:val="0"/>
          <w:numId w:val="1"/>
        </w:numPr>
        <w:ind w:left="1080"/>
        <w:rPr>
          <w:rFonts w:ascii="Arial" w:hAnsi="Arial" w:cs="Arial"/>
          <w:sz w:val="20"/>
          <w:szCs w:val="20"/>
        </w:rPr>
      </w:pPr>
      <w:r w:rsidRPr="007F50C7">
        <w:rPr>
          <w:rFonts w:ascii="Arial" w:hAnsi="Arial" w:cs="Arial"/>
          <w:sz w:val="20"/>
          <w:szCs w:val="20"/>
        </w:rPr>
        <w:t>#9 [No proceedings]</w:t>
      </w:r>
    </w:p>
    <w:p w14:paraId="34C6BEB5" w14:textId="77777777" w:rsidR="00FF1005" w:rsidRPr="007F50C7" w:rsidRDefault="00FF1005" w:rsidP="00FF1005">
      <w:pPr>
        <w:pStyle w:val="ListParagraph"/>
        <w:rPr>
          <w:rFonts w:ascii="Arial" w:hAnsi="Arial" w:cs="Arial"/>
          <w:sz w:val="20"/>
          <w:szCs w:val="20"/>
        </w:rPr>
      </w:pPr>
    </w:p>
    <w:p w14:paraId="478EF6E7" w14:textId="77777777" w:rsidR="00507B57" w:rsidRPr="007F50C7" w:rsidRDefault="00507B57" w:rsidP="00507B57">
      <w:pPr>
        <w:rPr>
          <w:rFonts w:ascii="Arial" w:hAnsi="Arial" w:cs="Arial"/>
          <w:sz w:val="20"/>
        </w:rPr>
      </w:pPr>
      <w:r w:rsidRPr="007F50C7">
        <w:rPr>
          <w:rFonts w:ascii="Arial" w:hAnsi="Arial" w:cs="Arial"/>
          <w:sz w:val="20"/>
          <w:u w:val="single"/>
        </w:rPr>
        <w:t>Genuine Signatures</w:t>
      </w:r>
      <w:r w:rsidRPr="007F50C7">
        <w:rPr>
          <w:rFonts w:ascii="Arial" w:hAnsi="Arial" w:cs="Arial"/>
          <w:sz w:val="20"/>
        </w:rPr>
        <w:t>:  The issuer of the opinion cannot assume the genuineness of the Borrower’s signatures (or the signatures of Guarantor, SPE Equity Owner, or any other applicable parties on whom the opinion letter is based), unless either (i) a separate opinion letter is issued without this assumption, or (ii) all of the loan documents are notarized.</w:t>
      </w:r>
    </w:p>
    <w:p w14:paraId="52A2CAE4" w14:textId="77777777" w:rsidR="00FE6EE0" w:rsidRPr="007F50C7" w:rsidRDefault="00FE6EE0" w:rsidP="00507B57">
      <w:pPr>
        <w:rPr>
          <w:rFonts w:ascii="Arial" w:hAnsi="Arial" w:cs="Arial"/>
          <w:sz w:val="20"/>
        </w:rPr>
      </w:pPr>
    </w:p>
    <w:p w14:paraId="4A4E77E6" w14:textId="77777777" w:rsidR="00507B57" w:rsidRPr="007F50C7" w:rsidRDefault="00507B57" w:rsidP="00507B57">
      <w:pPr>
        <w:rPr>
          <w:rFonts w:ascii="Arial" w:hAnsi="Arial" w:cs="Arial"/>
          <w:sz w:val="20"/>
        </w:rPr>
      </w:pPr>
      <w:r w:rsidRPr="007F50C7">
        <w:rPr>
          <w:rFonts w:ascii="Arial" w:hAnsi="Arial" w:cs="Arial"/>
          <w:sz w:val="20"/>
          <w:u w:val="single"/>
        </w:rPr>
        <w:t>ABA Accord / State or Local Bar Associations</w:t>
      </w:r>
      <w:r w:rsidRPr="007F50C7">
        <w:rPr>
          <w:rFonts w:ascii="Arial" w:hAnsi="Arial" w:cs="Arial"/>
          <w:sz w:val="20"/>
        </w:rPr>
        <w:t xml:space="preserve">:  In no event, in any jurisdiction, is it acceptable to refer to, take exception for, </w:t>
      </w:r>
      <w:r w:rsidR="00ED3B26" w:rsidRPr="007F50C7">
        <w:rPr>
          <w:rFonts w:ascii="Arial" w:hAnsi="Arial" w:cs="Arial"/>
          <w:sz w:val="20"/>
        </w:rPr>
        <w:t xml:space="preserve">or make the opinion limited to or interpreted by, </w:t>
      </w:r>
      <w:r w:rsidRPr="007F50C7">
        <w:rPr>
          <w:rFonts w:ascii="Arial" w:hAnsi="Arial" w:cs="Arial"/>
          <w:sz w:val="20"/>
        </w:rPr>
        <w:t>the ABA Accord</w:t>
      </w:r>
      <w:r w:rsidR="00ED3B26" w:rsidRPr="007F50C7">
        <w:rPr>
          <w:rFonts w:ascii="Arial" w:hAnsi="Arial" w:cs="Arial"/>
          <w:sz w:val="20"/>
        </w:rPr>
        <w:t xml:space="preserve"> or any other </w:t>
      </w:r>
      <w:r w:rsidRPr="007F50C7">
        <w:rPr>
          <w:rFonts w:ascii="Arial" w:hAnsi="Arial" w:cs="Arial"/>
          <w:sz w:val="20"/>
        </w:rPr>
        <w:t>published report or guidelines on legal opinion letters</w:t>
      </w:r>
      <w:r w:rsidR="00ED3B26" w:rsidRPr="007F50C7">
        <w:rPr>
          <w:rFonts w:ascii="Arial" w:hAnsi="Arial" w:cs="Arial"/>
          <w:sz w:val="20"/>
        </w:rPr>
        <w:t>, promulgated by any state or local bar association or any other organization</w:t>
      </w:r>
      <w:r w:rsidRPr="007F50C7">
        <w:rPr>
          <w:rFonts w:ascii="Arial" w:hAnsi="Arial" w:cs="Arial"/>
          <w:sz w:val="20"/>
        </w:rPr>
        <w:t xml:space="preserve">.  </w:t>
      </w:r>
    </w:p>
    <w:p w14:paraId="3F5AA20C" w14:textId="77777777" w:rsidR="00FE6EE0" w:rsidRPr="007F50C7" w:rsidRDefault="00FE6EE0" w:rsidP="00507B57">
      <w:pPr>
        <w:rPr>
          <w:rFonts w:ascii="Arial" w:hAnsi="Arial" w:cs="Arial"/>
          <w:sz w:val="20"/>
        </w:rPr>
      </w:pPr>
    </w:p>
    <w:p w14:paraId="13078AFE" w14:textId="77777777" w:rsidR="00507B57" w:rsidRPr="007F50C7" w:rsidRDefault="00507B57" w:rsidP="00507B57">
      <w:pPr>
        <w:overflowPunct/>
        <w:textAlignment w:val="auto"/>
        <w:rPr>
          <w:rFonts w:ascii="Arial" w:hAnsi="Arial" w:cs="Arial"/>
          <w:color w:val="000000"/>
          <w:sz w:val="20"/>
        </w:rPr>
      </w:pPr>
      <w:r w:rsidRPr="007F50C7">
        <w:rPr>
          <w:rFonts w:ascii="Arial" w:hAnsi="Arial" w:cs="Arial"/>
          <w:color w:val="000000"/>
          <w:sz w:val="20"/>
          <w:u w:val="single"/>
        </w:rPr>
        <w:t>Scope of Law</w:t>
      </w:r>
      <w:r w:rsidRPr="007F50C7">
        <w:rPr>
          <w:rFonts w:ascii="Arial" w:hAnsi="Arial" w:cs="Arial"/>
          <w:color w:val="000000"/>
          <w:sz w:val="20"/>
        </w:rPr>
        <w:t xml:space="preserve">:   </w:t>
      </w:r>
    </w:p>
    <w:p w14:paraId="236BE394" w14:textId="77777777" w:rsidR="00507B57" w:rsidRPr="007F50C7" w:rsidRDefault="00507B57" w:rsidP="00507B57">
      <w:pPr>
        <w:overflowPunct/>
        <w:textAlignment w:val="auto"/>
        <w:rPr>
          <w:rFonts w:ascii="Arial" w:hAnsi="Arial" w:cs="Arial"/>
          <w:color w:val="000000"/>
          <w:sz w:val="20"/>
        </w:rPr>
      </w:pPr>
    </w:p>
    <w:p w14:paraId="7D066C2B" w14:textId="77777777" w:rsidR="00507B57" w:rsidRPr="007F50C7" w:rsidRDefault="00507B57" w:rsidP="00507B57">
      <w:pPr>
        <w:numPr>
          <w:ilvl w:val="0"/>
          <w:numId w:val="2"/>
        </w:numPr>
        <w:overflowPunct/>
        <w:autoSpaceDE/>
        <w:autoSpaceDN/>
        <w:adjustRightInd/>
        <w:ind w:left="720" w:hanging="360"/>
        <w:textAlignment w:val="auto"/>
        <w:rPr>
          <w:rFonts w:ascii="Arial" w:hAnsi="Arial" w:cs="Arial"/>
          <w:color w:val="000000"/>
          <w:sz w:val="20"/>
        </w:rPr>
      </w:pPr>
      <w:r w:rsidRPr="007F50C7">
        <w:rPr>
          <w:rFonts w:ascii="Arial" w:hAnsi="Arial" w:cs="Arial"/>
          <w:color w:val="000000"/>
          <w:sz w:val="20"/>
        </w:rPr>
        <w:t xml:space="preserve">Laws normally applicable:     It is unacceptable for the opinion to limit the scope of state law to “those laws, rules and regulations that in our experience are normally applicable to [the borrower, </w:t>
      </w:r>
      <w:r w:rsidRPr="007F50C7">
        <w:rPr>
          <w:rFonts w:ascii="Arial" w:hAnsi="Arial" w:cs="Arial"/>
          <w:color w:val="000000"/>
          <w:sz w:val="20"/>
        </w:rPr>
        <w:lastRenderedPageBreak/>
        <w:t>guarantor, property, loan documents, transactions of this nature, etc.]”, or phrases of similar substance.</w:t>
      </w:r>
    </w:p>
    <w:p w14:paraId="7A70B1CB" w14:textId="77777777" w:rsidR="00507B57" w:rsidRPr="007F50C7" w:rsidRDefault="00507B57" w:rsidP="00507B57">
      <w:pPr>
        <w:overflowPunct/>
        <w:autoSpaceDE/>
        <w:autoSpaceDN/>
        <w:adjustRightInd/>
        <w:ind w:left="360"/>
        <w:textAlignment w:val="auto"/>
        <w:rPr>
          <w:rFonts w:ascii="Arial" w:hAnsi="Arial" w:cs="Arial"/>
          <w:color w:val="000000"/>
          <w:sz w:val="20"/>
        </w:rPr>
      </w:pPr>
    </w:p>
    <w:p w14:paraId="5061A278" w14:textId="77777777" w:rsidR="00507B57" w:rsidRPr="007F50C7" w:rsidRDefault="00507B57" w:rsidP="00507B57">
      <w:pPr>
        <w:numPr>
          <w:ilvl w:val="0"/>
          <w:numId w:val="2"/>
        </w:numPr>
        <w:overflowPunct/>
        <w:autoSpaceDE/>
        <w:autoSpaceDN/>
        <w:adjustRightInd/>
        <w:ind w:left="720" w:hanging="360"/>
        <w:textAlignment w:val="auto"/>
        <w:rPr>
          <w:rFonts w:ascii="Arial" w:hAnsi="Arial" w:cs="Arial"/>
          <w:color w:val="000000"/>
          <w:sz w:val="20"/>
        </w:rPr>
      </w:pPr>
      <w:r w:rsidRPr="007F50C7">
        <w:rPr>
          <w:rFonts w:ascii="Arial" w:hAnsi="Arial" w:cs="Arial"/>
          <w:color w:val="000000"/>
          <w:sz w:val="20"/>
        </w:rPr>
        <w:t>Limited to LLC Act or LP Act:     It is acceptable, for an issuer not licensed in the state of organization, to limit an opinion to the applicable LLC Act or LP Act (or other applicable corporate statute) only regarding opinions on formation/authorization/authority (not enforceability or execution/delivery), provided</w:t>
      </w:r>
      <w:r w:rsidRPr="007F50C7">
        <w:rPr>
          <w:rFonts w:ascii="Arial" w:hAnsi="Arial" w:cs="Arial"/>
          <w:sz w:val="20"/>
        </w:rPr>
        <w:t xml:space="preserve"> no statement of any kind is made regarding the issuer’s state of licensure or non-licensure.</w:t>
      </w:r>
      <w:r w:rsidRPr="007F50C7">
        <w:rPr>
          <w:rFonts w:ascii="Arial" w:hAnsi="Arial" w:cs="Arial"/>
          <w:color w:val="000000"/>
          <w:sz w:val="20"/>
        </w:rPr>
        <w:t xml:space="preserve">  Limitations to the LLC Act or LP Act do not need to specifically include “and all relevant caselaw” but must not specifically exclude it.</w:t>
      </w:r>
    </w:p>
    <w:p w14:paraId="4CA2BAD2" w14:textId="77777777" w:rsidR="00507B57" w:rsidRPr="007F50C7" w:rsidRDefault="00507B57" w:rsidP="00507B57">
      <w:pPr>
        <w:overflowPunct/>
        <w:autoSpaceDE/>
        <w:autoSpaceDN/>
        <w:adjustRightInd/>
        <w:ind w:left="720"/>
        <w:textAlignment w:val="auto"/>
        <w:rPr>
          <w:rFonts w:ascii="Arial" w:hAnsi="Arial" w:cs="Arial"/>
          <w:color w:val="000000"/>
          <w:sz w:val="20"/>
        </w:rPr>
      </w:pPr>
      <w:r w:rsidRPr="007F50C7">
        <w:rPr>
          <w:rFonts w:ascii="Arial" w:hAnsi="Arial" w:cs="Arial"/>
          <w:color w:val="000000"/>
          <w:sz w:val="20"/>
        </w:rPr>
        <w:t xml:space="preserve">   </w:t>
      </w:r>
    </w:p>
    <w:p w14:paraId="19E5F357" w14:textId="77777777" w:rsidR="00507B57" w:rsidRPr="007F50C7" w:rsidRDefault="003251AC" w:rsidP="00507B57">
      <w:pPr>
        <w:numPr>
          <w:ilvl w:val="0"/>
          <w:numId w:val="2"/>
        </w:numPr>
        <w:overflowPunct/>
        <w:autoSpaceDE/>
        <w:autoSpaceDN/>
        <w:adjustRightInd/>
        <w:ind w:left="720" w:hanging="360"/>
        <w:textAlignment w:val="auto"/>
        <w:rPr>
          <w:rFonts w:ascii="Arial" w:hAnsi="Arial" w:cs="Arial"/>
          <w:color w:val="000000"/>
          <w:sz w:val="20"/>
        </w:rPr>
      </w:pPr>
      <w:r w:rsidRPr="007F50C7">
        <w:rPr>
          <w:rFonts w:ascii="Arial" w:hAnsi="Arial" w:cs="Arial"/>
          <w:color w:val="000000"/>
          <w:sz w:val="20"/>
        </w:rPr>
        <w:t xml:space="preserve">County/Local: </w:t>
      </w:r>
      <w:r w:rsidR="00507B57" w:rsidRPr="007F50C7">
        <w:rPr>
          <w:rFonts w:ascii="Arial" w:hAnsi="Arial" w:cs="Arial"/>
          <w:color w:val="000000"/>
          <w:sz w:val="20"/>
        </w:rPr>
        <w:t xml:space="preserve">It is unacceptable to exclude broadly defined “county or local laws”; rather, specific exceptions must be described in detail and brought to the attention of Freddie Mac counsel for approval. </w:t>
      </w:r>
    </w:p>
    <w:p w14:paraId="25B51D69" w14:textId="77777777" w:rsidR="00507B57" w:rsidRPr="007F50C7" w:rsidRDefault="00507B57" w:rsidP="00507B57">
      <w:pPr>
        <w:overflowPunct/>
        <w:autoSpaceDE/>
        <w:autoSpaceDN/>
        <w:adjustRightInd/>
        <w:textAlignment w:val="auto"/>
        <w:rPr>
          <w:rFonts w:ascii="Arial" w:hAnsi="Arial" w:cs="Arial"/>
          <w:color w:val="000000"/>
          <w:sz w:val="20"/>
        </w:rPr>
      </w:pPr>
    </w:p>
    <w:p w14:paraId="3035FF97" w14:textId="77777777" w:rsidR="00507B57" w:rsidRPr="007F50C7" w:rsidRDefault="00507B57" w:rsidP="00507B57">
      <w:pPr>
        <w:numPr>
          <w:ilvl w:val="0"/>
          <w:numId w:val="2"/>
        </w:numPr>
        <w:overflowPunct/>
        <w:autoSpaceDE/>
        <w:autoSpaceDN/>
        <w:adjustRightInd/>
        <w:ind w:left="720" w:hanging="360"/>
        <w:textAlignment w:val="auto"/>
        <w:rPr>
          <w:rFonts w:ascii="Arial" w:hAnsi="Arial" w:cs="Arial"/>
          <w:color w:val="000000"/>
          <w:sz w:val="20"/>
        </w:rPr>
      </w:pPr>
      <w:r w:rsidRPr="007F50C7">
        <w:rPr>
          <w:rFonts w:ascii="Arial" w:hAnsi="Arial" w:cs="Arial"/>
          <w:color w:val="000000"/>
          <w:sz w:val="20"/>
        </w:rPr>
        <w:t xml:space="preserve">Compilations:  It is unacceptable to base an opinion solely on review of unofficial compilations of the relevant law.  </w:t>
      </w:r>
    </w:p>
    <w:p w14:paraId="229B1169" w14:textId="77777777" w:rsidR="00507B57" w:rsidRPr="007F50C7" w:rsidRDefault="00507B57" w:rsidP="00507B57">
      <w:pPr>
        <w:overflowPunct/>
        <w:autoSpaceDE/>
        <w:autoSpaceDN/>
        <w:adjustRightInd/>
        <w:textAlignment w:val="auto"/>
        <w:rPr>
          <w:rFonts w:ascii="Arial" w:hAnsi="Arial" w:cs="Arial"/>
          <w:sz w:val="20"/>
        </w:rPr>
      </w:pPr>
    </w:p>
    <w:p w14:paraId="31F79C8C" w14:textId="77777777" w:rsidR="00507B57" w:rsidRPr="007F50C7" w:rsidRDefault="00507B57" w:rsidP="00507B57">
      <w:pPr>
        <w:overflowPunct/>
        <w:autoSpaceDE/>
        <w:autoSpaceDN/>
        <w:adjustRightInd/>
        <w:textAlignment w:val="auto"/>
        <w:rPr>
          <w:rFonts w:ascii="Arial" w:hAnsi="Arial" w:cs="Arial"/>
          <w:sz w:val="20"/>
          <w:u w:val="single"/>
        </w:rPr>
      </w:pPr>
      <w:r w:rsidRPr="007F50C7">
        <w:rPr>
          <w:rFonts w:ascii="Arial" w:hAnsi="Arial" w:cs="Arial"/>
          <w:sz w:val="20"/>
          <w:u w:val="single"/>
        </w:rPr>
        <w:t>Issuer’s Affiliations/Conflicts:</w:t>
      </w:r>
    </w:p>
    <w:p w14:paraId="033D7191" w14:textId="77777777" w:rsidR="00507B57" w:rsidRPr="007F50C7" w:rsidRDefault="00507B57" w:rsidP="00507B57">
      <w:pPr>
        <w:overflowPunct/>
        <w:autoSpaceDE/>
        <w:autoSpaceDN/>
        <w:adjustRightInd/>
        <w:textAlignment w:val="auto"/>
        <w:rPr>
          <w:rFonts w:ascii="Arial" w:hAnsi="Arial" w:cs="Arial"/>
          <w:sz w:val="20"/>
          <w:u w:val="single"/>
        </w:rPr>
      </w:pPr>
    </w:p>
    <w:p w14:paraId="673A7ED2" w14:textId="77777777" w:rsidR="00507B57" w:rsidRPr="007F50C7" w:rsidRDefault="00507B57" w:rsidP="00507B57">
      <w:pPr>
        <w:numPr>
          <w:ilvl w:val="0"/>
          <w:numId w:val="3"/>
        </w:numPr>
        <w:overflowPunct/>
        <w:autoSpaceDE/>
        <w:autoSpaceDN/>
        <w:adjustRightInd/>
        <w:ind w:left="720" w:hanging="300"/>
        <w:textAlignment w:val="auto"/>
        <w:rPr>
          <w:rFonts w:ascii="Arial" w:hAnsi="Arial" w:cs="Arial"/>
          <w:sz w:val="20"/>
        </w:rPr>
      </w:pPr>
      <w:r w:rsidRPr="007F50C7">
        <w:rPr>
          <w:rFonts w:ascii="Arial" w:hAnsi="Arial" w:cs="Arial"/>
          <w:sz w:val="20"/>
        </w:rPr>
        <w:t>Affiliation with Title Company:  It is acceptable for the issuer of an opinion to be affiliated with the title insurer.</w:t>
      </w:r>
    </w:p>
    <w:p w14:paraId="4A203281" w14:textId="77777777" w:rsidR="00507B57" w:rsidRPr="007F50C7" w:rsidRDefault="00507B57" w:rsidP="00507B57">
      <w:pPr>
        <w:overflowPunct/>
        <w:autoSpaceDE/>
        <w:autoSpaceDN/>
        <w:adjustRightInd/>
        <w:ind w:left="60"/>
        <w:textAlignment w:val="auto"/>
        <w:rPr>
          <w:rFonts w:ascii="Arial" w:hAnsi="Arial" w:cs="Arial"/>
          <w:sz w:val="20"/>
        </w:rPr>
      </w:pPr>
    </w:p>
    <w:p w14:paraId="503E6524" w14:textId="77777777" w:rsidR="00507B57" w:rsidRPr="007F50C7" w:rsidRDefault="00507B57" w:rsidP="00507B57">
      <w:pPr>
        <w:numPr>
          <w:ilvl w:val="0"/>
          <w:numId w:val="3"/>
        </w:numPr>
        <w:overflowPunct/>
        <w:autoSpaceDE/>
        <w:autoSpaceDN/>
        <w:adjustRightInd/>
        <w:ind w:left="720" w:hanging="300"/>
        <w:textAlignment w:val="auto"/>
        <w:rPr>
          <w:rFonts w:ascii="Arial" w:hAnsi="Arial" w:cs="Arial"/>
          <w:sz w:val="20"/>
        </w:rPr>
      </w:pPr>
      <w:r w:rsidRPr="007F50C7">
        <w:rPr>
          <w:rFonts w:ascii="Arial" w:hAnsi="Arial" w:cs="Arial"/>
          <w:sz w:val="20"/>
        </w:rPr>
        <w:t xml:space="preserve">Representation of Seller/Servicer:    It is acceptable for the issuer of an opinion to also represent a Seller/Servicer, provided that the issuer does not represent the Seller/Servicer in connection with the subject loan. </w:t>
      </w:r>
    </w:p>
    <w:p w14:paraId="04BAED99" w14:textId="77777777" w:rsidR="00507B57" w:rsidRPr="007F50C7" w:rsidRDefault="00507B57" w:rsidP="00507B57">
      <w:pPr>
        <w:overflowPunct/>
        <w:autoSpaceDE/>
        <w:autoSpaceDN/>
        <w:adjustRightInd/>
        <w:textAlignment w:val="auto"/>
        <w:rPr>
          <w:rFonts w:ascii="Arial" w:hAnsi="Arial" w:cs="Arial"/>
          <w:sz w:val="20"/>
        </w:rPr>
      </w:pPr>
    </w:p>
    <w:p w14:paraId="1239C00E" w14:textId="77777777" w:rsidR="004B2EEA" w:rsidRPr="007F50C7" w:rsidRDefault="00D2647B">
      <w:pPr>
        <w:rPr>
          <w:rFonts w:ascii="Arial" w:hAnsi="Arial" w:cs="Arial"/>
          <w:sz w:val="20"/>
        </w:rPr>
      </w:pPr>
      <w:r w:rsidRPr="007F50C7">
        <w:rPr>
          <w:rFonts w:ascii="Arial" w:hAnsi="Arial" w:cs="Arial"/>
          <w:sz w:val="20"/>
          <w:u w:val="single"/>
        </w:rPr>
        <w:t>Guarantor not a Foreign National</w:t>
      </w:r>
      <w:r w:rsidR="00290C6D" w:rsidRPr="007F50C7">
        <w:rPr>
          <w:rFonts w:ascii="Arial" w:hAnsi="Arial" w:cs="Arial"/>
          <w:sz w:val="20"/>
        </w:rPr>
        <w:t>:</w:t>
      </w:r>
      <w:r w:rsidRPr="007F50C7">
        <w:rPr>
          <w:rFonts w:ascii="Arial" w:hAnsi="Arial" w:cs="Arial"/>
          <w:sz w:val="20"/>
        </w:rPr>
        <w:t xml:space="preserve">  It is acceptable for this opinion to rely on the guarantor’s current/valid passport.</w:t>
      </w:r>
    </w:p>
    <w:p w14:paraId="4C8998C6" w14:textId="77777777" w:rsidR="00FE6EE0" w:rsidRPr="007F50C7" w:rsidRDefault="00FE6EE0">
      <w:pPr>
        <w:rPr>
          <w:rFonts w:ascii="Arial" w:hAnsi="Arial" w:cs="Arial"/>
          <w:sz w:val="20"/>
        </w:rPr>
      </w:pPr>
    </w:p>
    <w:p w14:paraId="55B6CCE7" w14:textId="77777777" w:rsidR="001025D5" w:rsidRPr="007F50C7" w:rsidRDefault="00BC0E81" w:rsidP="001025D5">
      <w:pPr>
        <w:rPr>
          <w:rFonts w:ascii="Arial" w:hAnsi="Arial" w:cs="Arial"/>
          <w:sz w:val="20"/>
          <w:u w:val="single"/>
        </w:rPr>
      </w:pPr>
      <w:r w:rsidRPr="007F50C7">
        <w:rPr>
          <w:rFonts w:ascii="Arial" w:hAnsi="Arial" w:cs="Arial"/>
          <w:sz w:val="20"/>
          <w:u w:val="single"/>
        </w:rPr>
        <w:t xml:space="preserve">Legal Opinion Requirements - </w:t>
      </w:r>
      <w:r w:rsidR="001025D5" w:rsidRPr="007F50C7">
        <w:rPr>
          <w:rFonts w:ascii="Arial" w:hAnsi="Arial" w:cs="Arial"/>
          <w:sz w:val="20"/>
          <w:u w:val="single"/>
        </w:rPr>
        <w:t>Supplemental Loans:</w:t>
      </w:r>
      <w:r w:rsidR="001025D5" w:rsidRPr="007F50C7">
        <w:rPr>
          <w:rFonts w:ascii="Arial" w:hAnsi="Arial" w:cs="Arial"/>
          <w:sz w:val="20"/>
        </w:rPr>
        <w:t xml:space="preserve"> No enforceability opinion or local law opinions will be required in either the form Opinion Letter - Borrower and SPE Equity Owner or the form Opinion Letter – Guarantor for supplemental loans.</w:t>
      </w:r>
    </w:p>
    <w:p w14:paraId="60DFA61D" w14:textId="77777777" w:rsidR="001025D5" w:rsidRPr="007F50C7" w:rsidRDefault="001025D5">
      <w:pPr>
        <w:rPr>
          <w:rFonts w:ascii="Arial" w:hAnsi="Arial" w:cs="Arial"/>
          <w:sz w:val="20"/>
        </w:rPr>
      </w:pPr>
    </w:p>
    <w:sectPr w:rsidR="001025D5" w:rsidRPr="007F50C7" w:rsidSect="001F68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139E" w14:textId="77777777" w:rsidR="00F621FE" w:rsidRDefault="00F621FE" w:rsidP="00507B57">
      <w:r>
        <w:separator/>
      </w:r>
    </w:p>
  </w:endnote>
  <w:endnote w:type="continuationSeparator" w:id="0">
    <w:p w14:paraId="7DAF2AFF" w14:textId="77777777" w:rsidR="00F621FE" w:rsidRDefault="00F621FE" w:rsidP="0050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B37" w14:textId="77777777" w:rsidR="007F50C7" w:rsidRDefault="007F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4EF6" w14:textId="77777777" w:rsidR="000D2DBE" w:rsidRPr="001F6829" w:rsidRDefault="001F6829" w:rsidP="001F6829">
    <w:pPr>
      <w:pStyle w:val="Footer"/>
      <w:rPr>
        <w:rFonts w:ascii="Arial" w:hAnsi="Arial" w:cs="Arial"/>
        <w:sz w:val="20"/>
      </w:rPr>
    </w:pPr>
    <w:r>
      <w:rPr>
        <w:rFonts w:ascii="Arial" w:hAnsi="Arial" w:cs="Arial"/>
        <w:sz w:val="20"/>
      </w:rPr>
      <w:t>Opinion Letter Guidelines</w:t>
    </w:r>
    <w:r>
      <w:rPr>
        <w:rFonts w:ascii="Arial" w:hAnsi="Arial" w:cs="Arial"/>
        <w:sz w:val="20"/>
      </w:rPr>
      <w:tab/>
    </w:r>
    <w:r>
      <w:rPr>
        <w:rFonts w:ascii="Arial" w:hAnsi="Arial" w:cs="Arial"/>
        <w:sz w:val="20"/>
      </w:rPr>
      <w:tab/>
      <w:t xml:space="preserve">Page </w:t>
    </w:r>
    <w:r w:rsidRPr="001F6829">
      <w:rPr>
        <w:rFonts w:ascii="Arial" w:hAnsi="Arial" w:cs="Arial"/>
        <w:sz w:val="20"/>
      </w:rPr>
      <w:fldChar w:fldCharType="begin"/>
    </w:r>
    <w:r w:rsidRPr="001F6829">
      <w:rPr>
        <w:rFonts w:ascii="Arial" w:hAnsi="Arial" w:cs="Arial"/>
        <w:sz w:val="20"/>
      </w:rPr>
      <w:instrText xml:space="preserve"> PAGE   \* MERGEFORMAT </w:instrText>
    </w:r>
    <w:r w:rsidRPr="001F6829">
      <w:rPr>
        <w:rFonts w:ascii="Arial" w:hAnsi="Arial" w:cs="Arial"/>
        <w:sz w:val="20"/>
      </w:rPr>
      <w:fldChar w:fldCharType="separate"/>
    </w:r>
    <w:r w:rsidRPr="001F6829">
      <w:rPr>
        <w:rFonts w:ascii="Arial" w:hAnsi="Arial" w:cs="Arial"/>
        <w:noProof/>
        <w:sz w:val="20"/>
      </w:rPr>
      <w:t>1</w:t>
    </w:r>
    <w:r w:rsidRPr="001F6829">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AA6A" w14:textId="77777777" w:rsidR="007F50C7" w:rsidRDefault="007F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8B76" w14:textId="77777777" w:rsidR="00F621FE" w:rsidRDefault="00F621FE" w:rsidP="00507B57">
      <w:r>
        <w:separator/>
      </w:r>
    </w:p>
  </w:footnote>
  <w:footnote w:type="continuationSeparator" w:id="0">
    <w:p w14:paraId="6EE97037" w14:textId="77777777" w:rsidR="00F621FE" w:rsidRDefault="00F621FE" w:rsidP="0050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69DE" w14:textId="77777777" w:rsidR="007F50C7" w:rsidRDefault="007F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D1F" w14:textId="77777777" w:rsidR="007F50C7" w:rsidRDefault="007F5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E20" w14:textId="77777777" w:rsidR="007F50C7" w:rsidRDefault="007F5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4A091E"/>
    <w:lvl w:ilvl="0">
      <w:numFmt w:val="bullet"/>
      <w:lvlText w:val="*"/>
      <w:lvlJc w:val="left"/>
    </w:lvl>
  </w:abstractNum>
  <w:abstractNum w:abstractNumId="1" w15:restartNumberingAfterBreak="0">
    <w:nsid w:val="3141508D"/>
    <w:multiLevelType w:val="hybridMultilevel"/>
    <w:tmpl w:val="028C3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10F4F"/>
    <w:multiLevelType w:val="hybridMultilevel"/>
    <w:tmpl w:val="1582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43ADA"/>
    <w:multiLevelType w:val="hybridMultilevel"/>
    <w:tmpl w:val="DC80B430"/>
    <w:lvl w:ilvl="0" w:tplc="1F3C9130">
      <w:numFmt w:val="bullet"/>
      <w:lvlText w:val=""/>
      <w:lvlJc w:val="left"/>
      <w:pPr>
        <w:ind w:left="1187" w:hanging="360"/>
      </w:pPr>
      <w:rPr>
        <w:rFonts w:ascii="Symbol" w:eastAsia="Symbol" w:hAnsi="Symbol" w:cs="Symbol" w:hint="default"/>
        <w:w w:val="100"/>
        <w:sz w:val="24"/>
        <w:szCs w:val="24"/>
        <w:lang w:val="en-US" w:eastAsia="en-US" w:bidi="en-US"/>
      </w:rPr>
    </w:lvl>
    <w:lvl w:ilvl="1" w:tplc="828474A0">
      <w:numFmt w:val="bullet"/>
      <w:lvlText w:val="•"/>
      <w:lvlJc w:val="left"/>
      <w:pPr>
        <w:ind w:left="2015" w:hanging="360"/>
      </w:pPr>
      <w:rPr>
        <w:rFonts w:hint="default"/>
        <w:lang w:val="en-US" w:eastAsia="en-US" w:bidi="en-US"/>
      </w:rPr>
    </w:lvl>
    <w:lvl w:ilvl="2" w:tplc="AD88D716">
      <w:numFmt w:val="bullet"/>
      <w:lvlText w:val="•"/>
      <w:lvlJc w:val="left"/>
      <w:pPr>
        <w:ind w:left="2850" w:hanging="360"/>
      </w:pPr>
      <w:rPr>
        <w:rFonts w:hint="default"/>
        <w:lang w:val="en-US" w:eastAsia="en-US" w:bidi="en-US"/>
      </w:rPr>
    </w:lvl>
    <w:lvl w:ilvl="3" w:tplc="E62E30FE">
      <w:numFmt w:val="bullet"/>
      <w:lvlText w:val="•"/>
      <w:lvlJc w:val="left"/>
      <w:pPr>
        <w:ind w:left="3685" w:hanging="360"/>
      </w:pPr>
      <w:rPr>
        <w:rFonts w:hint="default"/>
        <w:lang w:val="en-US" w:eastAsia="en-US" w:bidi="en-US"/>
      </w:rPr>
    </w:lvl>
    <w:lvl w:ilvl="4" w:tplc="0BCCF68C">
      <w:numFmt w:val="bullet"/>
      <w:lvlText w:val="•"/>
      <w:lvlJc w:val="left"/>
      <w:pPr>
        <w:ind w:left="4520" w:hanging="360"/>
      </w:pPr>
      <w:rPr>
        <w:rFonts w:hint="default"/>
        <w:lang w:val="en-US" w:eastAsia="en-US" w:bidi="en-US"/>
      </w:rPr>
    </w:lvl>
    <w:lvl w:ilvl="5" w:tplc="1660C7C4">
      <w:numFmt w:val="bullet"/>
      <w:lvlText w:val="•"/>
      <w:lvlJc w:val="left"/>
      <w:pPr>
        <w:ind w:left="5356" w:hanging="360"/>
      </w:pPr>
      <w:rPr>
        <w:rFonts w:hint="default"/>
        <w:lang w:val="en-US" w:eastAsia="en-US" w:bidi="en-US"/>
      </w:rPr>
    </w:lvl>
    <w:lvl w:ilvl="6" w:tplc="20A6F5AA">
      <w:numFmt w:val="bullet"/>
      <w:lvlText w:val="•"/>
      <w:lvlJc w:val="left"/>
      <w:pPr>
        <w:ind w:left="6191" w:hanging="360"/>
      </w:pPr>
      <w:rPr>
        <w:rFonts w:hint="default"/>
        <w:lang w:val="en-US" w:eastAsia="en-US" w:bidi="en-US"/>
      </w:rPr>
    </w:lvl>
    <w:lvl w:ilvl="7" w:tplc="FEE677DA">
      <w:numFmt w:val="bullet"/>
      <w:lvlText w:val="•"/>
      <w:lvlJc w:val="left"/>
      <w:pPr>
        <w:ind w:left="7026" w:hanging="360"/>
      </w:pPr>
      <w:rPr>
        <w:rFonts w:hint="default"/>
        <w:lang w:val="en-US" w:eastAsia="en-US" w:bidi="en-US"/>
      </w:rPr>
    </w:lvl>
    <w:lvl w:ilvl="8" w:tplc="463E433A">
      <w:numFmt w:val="bullet"/>
      <w:lvlText w:val="•"/>
      <w:lvlJc w:val="left"/>
      <w:pPr>
        <w:ind w:left="7861" w:hanging="360"/>
      </w:pPr>
      <w:rPr>
        <w:rFonts w:hint="default"/>
        <w:lang w:val="en-US" w:eastAsia="en-US" w:bidi="en-US"/>
      </w:rPr>
    </w:lvl>
  </w:abstractNum>
  <w:num w:numId="1" w16cid:durableId="239946441">
    <w:abstractNumId w:val="2"/>
  </w:num>
  <w:num w:numId="2" w16cid:durableId="931740173">
    <w:abstractNumId w:val="0"/>
    <w:lvlOverride w:ilvl="0">
      <w:lvl w:ilvl="0">
        <w:numFmt w:val="bullet"/>
        <w:lvlText w:val=""/>
        <w:legacy w:legacy="1" w:legacySpace="0" w:legacyIndent="0"/>
        <w:lvlJc w:val="left"/>
        <w:rPr>
          <w:rFonts w:ascii="Symbol" w:hAnsi="Symbol" w:hint="default"/>
          <w:sz w:val="22"/>
        </w:rPr>
      </w:lvl>
    </w:lvlOverride>
  </w:num>
  <w:num w:numId="3" w16cid:durableId="1333992845">
    <w:abstractNumId w:val="1"/>
  </w:num>
  <w:num w:numId="4" w16cid:durableId="1344698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57"/>
    <w:rsid w:val="00023304"/>
    <w:rsid w:val="00050451"/>
    <w:rsid w:val="000A57C7"/>
    <w:rsid w:val="000A58F4"/>
    <w:rsid w:val="000D2DBE"/>
    <w:rsid w:val="001025D5"/>
    <w:rsid w:val="001F6829"/>
    <w:rsid w:val="002126B1"/>
    <w:rsid w:val="00274DDD"/>
    <w:rsid w:val="00281D6F"/>
    <w:rsid w:val="00290C6D"/>
    <w:rsid w:val="002942CC"/>
    <w:rsid w:val="002B4DB6"/>
    <w:rsid w:val="002D16E6"/>
    <w:rsid w:val="00320EBA"/>
    <w:rsid w:val="00322D06"/>
    <w:rsid w:val="003251AC"/>
    <w:rsid w:val="003C757D"/>
    <w:rsid w:val="00402D3E"/>
    <w:rsid w:val="00407108"/>
    <w:rsid w:val="004249C2"/>
    <w:rsid w:val="004349F0"/>
    <w:rsid w:val="00450477"/>
    <w:rsid w:val="004B2EEA"/>
    <w:rsid w:val="004F1ED6"/>
    <w:rsid w:val="004F6D04"/>
    <w:rsid w:val="00504652"/>
    <w:rsid w:val="00507B57"/>
    <w:rsid w:val="005278CD"/>
    <w:rsid w:val="00673EB9"/>
    <w:rsid w:val="00684D7E"/>
    <w:rsid w:val="00696FF6"/>
    <w:rsid w:val="00713E43"/>
    <w:rsid w:val="007678D5"/>
    <w:rsid w:val="007D6278"/>
    <w:rsid w:val="007F50C7"/>
    <w:rsid w:val="00803A89"/>
    <w:rsid w:val="00826217"/>
    <w:rsid w:val="008275AC"/>
    <w:rsid w:val="008664DD"/>
    <w:rsid w:val="00910C41"/>
    <w:rsid w:val="00946062"/>
    <w:rsid w:val="009C4C6F"/>
    <w:rsid w:val="00A07826"/>
    <w:rsid w:val="00A23DE4"/>
    <w:rsid w:val="00A3734B"/>
    <w:rsid w:val="00A53005"/>
    <w:rsid w:val="00AC28E3"/>
    <w:rsid w:val="00AF656B"/>
    <w:rsid w:val="00B20C81"/>
    <w:rsid w:val="00B632CA"/>
    <w:rsid w:val="00B7748F"/>
    <w:rsid w:val="00BA19CD"/>
    <w:rsid w:val="00BB2000"/>
    <w:rsid w:val="00BC0E81"/>
    <w:rsid w:val="00BE7D26"/>
    <w:rsid w:val="00C5476B"/>
    <w:rsid w:val="00D0739E"/>
    <w:rsid w:val="00D10CF1"/>
    <w:rsid w:val="00D124F2"/>
    <w:rsid w:val="00D2647B"/>
    <w:rsid w:val="00D45287"/>
    <w:rsid w:val="00D93034"/>
    <w:rsid w:val="00DC0504"/>
    <w:rsid w:val="00DF66E7"/>
    <w:rsid w:val="00E713A8"/>
    <w:rsid w:val="00E75468"/>
    <w:rsid w:val="00E8008E"/>
    <w:rsid w:val="00ED3B26"/>
    <w:rsid w:val="00EE4FA4"/>
    <w:rsid w:val="00F621FE"/>
    <w:rsid w:val="00F81AE6"/>
    <w:rsid w:val="00F8322A"/>
    <w:rsid w:val="00FA1BDB"/>
    <w:rsid w:val="00FE6EE0"/>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E3D8F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57"/>
    <w:pPr>
      <w:overflowPunct w:val="0"/>
      <w:autoSpaceDE w:val="0"/>
      <w:autoSpaceDN w:val="0"/>
      <w:adjustRightInd w:val="0"/>
      <w:textAlignment w:val="baseline"/>
    </w:pPr>
    <w:rPr>
      <w:rFonts w:eastAsia="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rsid w:val="00507B57"/>
    <w:pPr>
      <w:spacing w:before="240"/>
      <w:jc w:val="both"/>
    </w:pPr>
  </w:style>
  <w:style w:type="paragraph" w:styleId="Footer">
    <w:name w:val="footer"/>
    <w:aliases w:val="Style 21"/>
    <w:basedOn w:val="Normal"/>
    <w:link w:val="FooterChar"/>
    <w:rsid w:val="00507B57"/>
    <w:pPr>
      <w:tabs>
        <w:tab w:val="center" w:pos="4680"/>
        <w:tab w:val="right" w:pos="9360"/>
      </w:tabs>
    </w:pPr>
  </w:style>
  <w:style w:type="character" w:customStyle="1" w:styleId="FooterChar">
    <w:name w:val="Footer Char"/>
    <w:link w:val="Footer"/>
    <w:rsid w:val="00507B57"/>
    <w:rPr>
      <w:rFonts w:eastAsia="Times New Roman" w:cs="Times New Roman"/>
      <w:szCs w:val="20"/>
    </w:rPr>
  </w:style>
  <w:style w:type="character" w:styleId="PageNumber">
    <w:name w:val="page number"/>
    <w:rsid w:val="00507B57"/>
  </w:style>
  <w:style w:type="paragraph" w:styleId="Header">
    <w:name w:val="header"/>
    <w:basedOn w:val="Normal"/>
    <w:link w:val="HeaderChar"/>
    <w:rsid w:val="00507B57"/>
    <w:pPr>
      <w:tabs>
        <w:tab w:val="center" w:pos="4320"/>
        <w:tab w:val="right" w:pos="8640"/>
      </w:tabs>
    </w:pPr>
  </w:style>
  <w:style w:type="character" w:customStyle="1" w:styleId="HeaderChar">
    <w:name w:val="Header Char"/>
    <w:link w:val="Header"/>
    <w:rsid w:val="00507B57"/>
    <w:rPr>
      <w:rFonts w:eastAsia="Times New Roman" w:cs="Times New Roman"/>
      <w:szCs w:val="20"/>
    </w:rPr>
  </w:style>
  <w:style w:type="paragraph" w:styleId="ListParagraph">
    <w:name w:val="List Paragraph"/>
    <w:basedOn w:val="Normal"/>
    <w:uiPriority w:val="34"/>
    <w:qFormat/>
    <w:rsid w:val="00507B5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DF66E7"/>
    <w:rPr>
      <w:rFonts w:eastAsia="Times New Roman"/>
      <w:sz w:val="24"/>
    </w:rPr>
  </w:style>
  <w:style w:type="paragraph" w:customStyle="1" w:styleId="TableParagraph">
    <w:name w:val="Table Paragraph"/>
    <w:basedOn w:val="Normal"/>
    <w:uiPriority w:val="1"/>
    <w:qFormat/>
    <w:rsid w:val="00DF66E7"/>
    <w:pPr>
      <w:widowControl w:val="0"/>
      <w:overflowPunct/>
      <w:adjustRightInd/>
      <w:textAlignment w:val="auto"/>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 I M A N A G E W O R K _ D O C S ! 4 4 0 3 0 6 6 . 1 < / d o c u m e n t i d >  
     < s e n d e r i d > F 3 6 0 0 0 6 < / s e n d e r i d >  
     < s e n d e r e m a i l > R O B Y N _ T H O M P S O N @ F R E D D I E M A C . C O M < / s e n d e r e m a i l >  
     < l a s t m o d i f i e d > 2 0 2 3 - 1 0 - 0 5 T 0 9 : 0 7 : 0 0 . 0 0 0 0 0 0 0 - 0 4 : 0 0 < / l a s t m o d i f i e d >  
     < d a t a b a s e > I M A N A G E W O R K _ D O C S < / d a t a b a s e >  
 < / p r o p e r t i e s > 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2023-10-05T13:07:00Z</dcterms:created>
  <dcterms:modified xsi:type="dcterms:W3CDTF">2023-10-05T13:07:00Z</dcterms:modified>
</cp:coreProperties>
</file>