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E9" w:rsidRPr="001B31FD" w:rsidRDefault="00017CE9" w:rsidP="0067714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28B2" w:rsidRPr="00F45466" w:rsidRDefault="00CC2DD3" w:rsidP="00713C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</w:t>
      </w:r>
      <w:r w:rsidR="00713CF0">
        <w:rPr>
          <w:rFonts w:ascii="Arial" w:hAnsi="Arial" w:cs="Arial"/>
          <w:b/>
          <w:sz w:val="24"/>
          <w:szCs w:val="24"/>
        </w:rPr>
        <w:t xml:space="preserve"> </w:t>
      </w:r>
      <w:r w:rsidR="00F928B2" w:rsidRPr="00F45466">
        <w:rPr>
          <w:rFonts w:ascii="Arial" w:hAnsi="Arial" w:cs="Arial"/>
          <w:b/>
          <w:sz w:val="24"/>
          <w:szCs w:val="24"/>
        </w:rPr>
        <w:t>201</w:t>
      </w:r>
      <w:r w:rsidR="00713CF0">
        <w:rPr>
          <w:rFonts w:ascii="Arial" w:hAnsi="Arial" w:cs="Arial"/>
          <w:b/>
          <w:sz w:val="24"/>
          <w:szCs w:val="24"/>
        </w:rPr>
        <w:t>8</w:t>
      </w:r>
    </w:p>
    <w:p w:rsidR="00677142" w:rsidRPr="00677142" w:rsidRDefault="00017CE9" w:rsidP="00F928B2">
      <w:pPr>
        <w:rPr>
          <w:rFonts w:ascii="Arial" w:hAnsi="Arial" w:cs="Arial"/>
          <w:b/>
          <w:sz w:val="36"/>
          <w:szCs w:val="36"/>
        </w:rPr>
      </w:pPr>
      <w:r w:rsidRPr="00017CE9">
        <w:rPr>
          <w:rFonts w:ascii="Arial" w:hAnsi="Arial" w:cs="Arial"/>
          <w:b/>
          <w:sz w:val="36"/>
          <w:szCs w:val="36"/>
        </w:rPr>
        <w:t xml:space="preserve">Direct Purchase of Tax-Exempt Loans </w:t>
      </w:r>
    </w:p>
    <w:p w:rsidR="00677142" w:rsidRPr="00677142" w:rsidRDefault="00017CE9" w:rsidP="00677142">
      <w:pPr>
        <w:rPr>
          <w:rFonts w:ascii="Arial" w:hAnsi="Arial" w:cs="Arial"/>
          <w:sz w:val="21"/>
          <w:szCs w:val="21"/>
        </w:rPr>
      </w:pPr>
      <w:r w:rsidRPr="00017CE9">
        <w:rPr>
          <w:rFonts w:ascii="Arial" w:hAnsi="Arial" w:cs="Arial"/>
          <w:sz w:val="21"/>
          <w:szCs w:val="21"/>
        </w:rPr>
        <w:t>On August 27, 2014, Freddie Mac closed the first tax-exempt loan (“</w:t>
      </w:r>
      <w:r w:rsidR="009B17DF" w:rsidRPr="00F93EE6">
        <w:rPr>
          <w:rFonts w:ascii="Arial" w:hAnsi="Arial" w:cs="Arial"/>
          <w:sz w:val="21"/>
          <w:szCs w:val="21"/>
        </w:rPr>
        <w:t>TEL</w:t>
      </w:r>
      <w:r w:rsidRPr="00017CE9">
        <w:rPr>
          <w:rFonts w:ascii="Arial" w:hAnsi="Arial" w:cs="Arial"/>
          <w:sz w:val="21"/>
          <w:szCs w:val="21"/>
        </w:rPr>
        <w:t>”) under Freddie Mac</w:t>
      </w:r>
      <w:r w:rsidR="00F928B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928B2">
        <w:rPr>
          <w:rFonts w:ascii="Arial" w:hAnsi="Arial" w:cs="Arial"/>
          <w:sz w:val="21"/>
          <w:szCs w:val="21"/>
        </w:rPr>
        <w:t>Multifamily</w:t>
      </w:r>
      <w:r w:rsidR="006F3018">
        <w:rPr>
          <w:rFonts w:ascii="Arial" w:hAnsi="Arial" w:cs="Arial"/>
          <w:sz w:val="21"/>
          <w:szCs w:val="21"/>
        </w:rPr>
        <w:t>’s</w:t>
      </w:r>
      <w:proofErr w:type="spellEnd"/>
      <w:r w:rsidRPr="00017CE9">
        <w:rPr>
          <w:rFonts w:ascii="Arial" w:hAnsi="Arial" w:cs="Arial"/>
          <w:sz w:val="21"/>
          <w:szCs w:val="21"/>
        </w:rPr>
        <w:t xml:space="preserve"> Direct Purchase of Tax-Exempt Loan</w:t>
      </w:r>
      <w:r w:rsidR="006F3018">
        <w:rPr>
          <w:rFonts w:ascii="Arial" w:hAnsi="Arial" w:cs="Arial"/>
          <w:sz w:val="21"/>
          <w:szCs w:val="21"/>
        </w:rPr>
        <w:t xml:space="preserve"> Initiative</w:t>
      </w:r>
      <w:r w:rsidR="00F928B2">
        <w:rPr>
          <w:rFonts w:ascii="Arial" w:hAnsi="Arial" w:cs="Arial"/>
          <w:sz w:val="21"/>
          <w:szCs w:val="21"/>
        </w:rPr>
        <w:t>.</w:t>
      </w:r>
      <w:r w:rsidRPr="00017CE9">
        <w:rPr>
          <w:rFonts w:ascii="Arial" w:hAnsi="Arial" w:cs="Arial"/>
          <w:sz w:val="21"/>
          <w:szCs w:val="21"/>
        </w:rPr>
        <w:t xml:space="preserve"> </w:t>
      </w:r>
    </w:p>
    <w:p w:rsidR="00677142" w:rsidRPr="007E3775" w:rsidRDefault="00017CE9" w:rsidP="007E3775">
      <w:pPr>
        <w:spacing w:after="120"/>
        <w:rPr>
          <w:rFonts w:ascii="Arial" w:hAnsi="Arial" w:cs="Arial"/>
          <w:sz w:val="21"/>
          <w:szCs w:val="21"/>
        </w:rPr>
      </w:pPr>
      <w:r w:rsidRPr="007E3775">
        <w:rPr>
          <w:rFonts w:ascii="Arial" w:hAnsi="Arial" w:cs="Arial"/>
          <w:b/>
          <w:sz w:val="21"/>
          <w:szCs w:val="21"/>
          <w:u w:val="single"/>
        </w:rPr>
        <w:t>Description of the Initiative</w:t>
      </w:r>
      <w:r w:rsidRPr="007E3775">
        <w:rPr>
          <w:rFonts w:ascii="Arial" w:hAnsi="Arial" w:cs="Arial"/>
          <w:b/>
          <w:sz w:val="21"/>
          <w:szCs w:val="21"/>
        </w:rPr>
        <w:t xml:space="preserve"> </w:t>
      </w:r>
      <w:r w:rsidRPr="007E3775">
        <w:rPr>
          <w:rFonts w:ascii="Arial" w:hAnsi="Arial" w:cs="Arial"/>
          <w:sz w:val="21"/>
          <w:szCs w:val="21"/>
        </w:rPr>
        <w:t>– Under the Initiative:</w:t>
      </w:r>
      <w:r w:rsidR="00677142" w:rsidRPr="007E3775">
        <w:rPr>
          <w:rFonts w:ascii="Arial" w:hAnsi="Arial" w:cs="Arial"/>
          <w:sz w:val="21"/>
          <w:szCs w:val="21"/>
        </w:rPr>
        <w:t xml:space="preserve">  </w:t>
      </w:r>
    </w:p>
    <w:p w:rsidR="00017CE9" w:rsidRPr="001B31FD" w:rsidRDefault="00017CE9" w:rsidP="001B31FD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</w:rPr>
      </w:pPr>
      <w:r w:rsidRPr="001B31FD">
        <w:rPr>
          <w:rFonts w:ascii="Arial" w:hAnsi="Arial" w:cs="Arial"/>
        </w:rPr>
        <w:t xml:space="preserve">Freddie Mac </w:t>
      </w:r>
      <w:r w:rsidR="00F928B2" w:rsidRPr="001B31FD">
        <w:rPr>
          <w:rFonts w:ascii="Arial" w:hAnsi="Arial" w:cs="Arial"/>
        </w:rPr>
        <w:t>S</w:t>
      </w:r>
      <w:r w:rsidRPr="001B31FD">
        <w:rPr>
          <w:rFonts w:ascii="Arial" w:hAnsi="Arial" w:cs="Arial"/>
        </w:rPr>
        <w:t>eller/</w:t>
      </w:r>
      <w:r w:rsidR="00F928B2" w:rsidRPr="001B31FD">
        <w:rPr>
          <w:rFonts w:ascii="Arial" w:hAnsi="Arial" w:cs="Arial"/>
        </w:rPr>
        <w:t>S</w:t>
      </w:r>
      <w:r w:rsidR="00713CF0">
        <w:rPr>
          <w:rFonts w:ascii="Arial" w:hAnsi="Arial" w:cs="Arial"/>
        </w:rPr>
        <w:t xml:space="preserve">ervicers -- or construction lenders in new construction or substantial rehab deals -- </w:t>
      </w:r>
      <w:r w:rsidRPr="001B31FD">
        <w:rPr>
          <w:rFonts w:ascii="Arial" w:hAnsi="Arial" w:cs="Arial"/>
        </w:rPr>
        <w:t>make loans (Funding Loans) to state and municipal issuers of tax-exempt bonds (Governmental Issuers).</w:t>
      </w:r>
    </w:p>
    <w:p w:rsidR="00017CE9" w:rsidRPr="001B31FD" w:rsidRDefault="00017CE9" w:rsidP="001B31FD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</w:rPr>
      </w:pPr>
      <w:r w:rsidRPr="001B31FD">
        <w:rPr>
          <w:rFonts w:ascii="Arial" w:hAnsi="Arial" w:cs="Arial"/>
        </w:rPr>
        <w:t>Governmental Issuers, in turn, loan the proceeds of the Funding Loans to developers (Project Lo</w:t>
      </w:r>
      <w:r w:rsidR="00713CF0">
        <w:rPr>
          <w:rFonts w:ascii="Arial" w:hAnsi="Arial" w:cs="Arial"/>
        </w:rPr>
        <w:t xml:space="preserve">ans) to finance the acquisition, </w:t>
      </w:r>
      <w:r w:rsidRPr="001B31FD">
        <w:rPr>
          <w:rFonts w:ascii="Arial" w:hAnsi="Arial" w:cs="Arial"/>
        </w:rPr>
        <w:t>rehabilitation</w:t>
      </w:r>
      <w:r w:rsidR="00713CF0">
        <w:rPr>
          <w:rFonts w:ascii="Arial" w:hAnsi="Arial" w:cs="Arial"/>
        </w:rPr>
        <w:t>, or construction</w:t>
      </w:r>
      <w:r w:rsidRPr="001B31FD">
        <w:rPr>
          <w:rFonts w:ascii="Arial" w:hAnsi="Arial" w:cs="Arial"/>
        </w:rPr>
        <w:t xml:space="preserve"> of affordable multifamily properties.</w:t>
      </w:r>
    </w:p>
    <w:p w:rsidR="00017CE9" w:rsidRPr="001B31FD" w:rsidRDefault="00017CE9" w:rsidP="001B31FD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</w:rPr>
      </w:pPr>
      <w:r w:rsidRPr="001B31FD">
        <w:rPr>
          <w:rFonts w:ascii="Arial" w:hAnsi="Arial" w:cs="Arial"/>
        </w:rPr>
        <w:t xml:space="preserve">Freddie Mac issues commitments to the </w:t>
      </w:r>
      <w:r w:rsidR="00F928B2" w:rsidRPr="001B31FD">
        <w:rPr>
          <w:rFonts w:ascii="Arial" w:hAnsi="Arial" w:cs="Arial"/>
        </w:rPr>
        <w:t>S</w:t>
      </w:r>
      <w:r w:rsidRPr="001B31FD">
        <w:rPr>
          <w:rFonts w:ascii="Arial" w:hAnsi="Arial" w:cs="Arial"/>
        </w:rPr>
        <w:t>eller/</w:t>
      </w:r>
      <w:r w:rsidR="00F928B2" w:rsidRPr="001B31FD">
        <w:rPr>
          <w:rFonts w:ascii="Arial" w:hAnsi="Arial" w:cs="Arial"/>
        </w:rPr>
        <w:t>S</w:t>
      </w:r>
      <w:r w:rsidRPr="001B31FD">
        <w:rPr>
          <w:rFonts w:ascii="Arial" w:hAnsi="Arial" w:cs="Arial"/>
        </w:rPr>
        <w:t xml:space="preserve">ervicer, which provide the conditions under which Freddie Mac agrees to purchase from the </w:t>
      </w:r>
      <w:r w:rsidR="00F928B2" w:rsidRPr="001B31FD">
        <w:rPr>
          <w:rFonts w:ascii="Arial" w:hAnsi="Arial" w:cs="Arial"/>
        </w:rPr>
        <w:t>S</w:t>
      </w:r>
      <w:r w:rsidRPr="001B31FD">
        <w:rPr>
          <w:rFonts w:ascii="Arial" w:hAnsi="Arial" w:cs="Arial"/>
        </w:rPr>
        <w:t>eller/</w:t>
      </w:r>
      <w:r w:rsidR="00F928B2" w:rsidRPr="001B31FD">
        <w:rPr>
          <w:rFonts w:ascii="Arial" w:hAnsi="Arial" w:cs="Arial"/>
        </w:rPr>
        <w:t>S</w:t>
      </w:r>
      <w:r w:rsidRPr="001B31FD">
        <w:rPr>
          <w:rFonts w:ascii="Arial" w:hAnsi="Arial" w:cs="Arial"/>
        </w:rPr>
        <w:t>ervicer the promissory notes evidencing the Funding Loans (Governmental Notes</w:t>
      </w:r>
      <w:r w:rsidR="009B17DF">
        <w:rPr>
          <w:rFonts w:ascii="Arial" w:hAnsi="Arial" w:cs="Arial"/>
        </w:rPr>
        <w:t xml:space="preserve"> or TELs</w:t>
      </w:r>
      <w:r w:rsidRPr="001B31FD">
        <w:rPr>
          <w:rFonts w:ascii="Arial" w:hAnsi="Arial" w:cs="Arial"/>
        </w:rPr>
        <w:t xml:space="preserve">).  </w:t>
      </w:r>
    </w:p>
    <w:p w:rsidR="00017CE9" w:rsidRPr="001B31FD" w:rsidRDefault="00017CE9" w:rsidP="001B31FD">
      <w:pPr>
        <w:pStyle w:val="ListParagraph"/>
        <w:numPr>
          <w:ilvl w:val="0"/>
          <w:numId w:val="2"/>
        </w:numPr>
        <w:spacing w:after="60"/>
        <w:contextualSpacing w:val="0"/>
        <w:rPr>
          <w:rFonts w:ascii="Arial" w:hAnsi="Arial" w:cs="Arial"/>
        </w:rPr>
      </w:pPr>
      <w:r w:rsidRPr="001B31FD">
        <w:rPr>
          <w:rFonts w:ascii="Arial" w:hAnsi="Arial" w:cs="Arial"/>
        </w:rPr>
        <w:t xml:space="preserve">Because the Project Loans are intended to meet the requirements for the issuance of tax-exempt obligations under Section 142(d) of the Internal Revenue Code of 1986, </w:t>
      </w:r>
      <w:r w:rsidR="006F3018">
        <w:rPr>
          <w:rFonts w:ascii="Arial" w:hAnsi="Arial" w:cs="Arial"/>
        </w:rPr>
        <w:t xml:space="preserve">as amended (Code) </w:t>
      </w:r>
      <w:r w:rsidRPr="001B31FD">
        <w:rPr>
          <w:rFonts w:ascii="Arial" w:hAnsi="Arial" w:cs="Arial"/>
        </w:rPr>
        <w:t xml:space="preserve">and for the granting of 4% low-income housing tax credits under Section 42 of the Code, interest paid on the </w:t>
      </w:r>
      <w:proofErr w:type="spellStart"/>
      <w:r w:rsidR="009B17DF">
        <w:rPr>
          <w:rFonts w:ascii="Arial" w:hAnsi="Arial" w:cs="Arial"/>
        </w:rPr>
        <w:t>TELs</w:t>
      </w:r>
      <w:proofErr w:type="spellEnd"/>
      <w:r w:rsidRPr="001B31FD">
        <w:rPr>
          <w:rFonts w:ascii="Arial" w:hAnsi="Arial" w:cs="Arial"/>
        </w:rPr>
        <w:t xml:space="preserve"> </w:t>
      </w:r>
      <w:r w:rsidR="007D3866">
        <w:rPr>
          <w:rFonts w:ascii="Arial" w:hAnsi="Arial" w:cs="Arial"/>
        </w:rPr>
        <w:t xml:space="preserve">is expected to </w:t>
      </w:r>
      <w:r w:rsidRPr="001B31FD">
        <w:rPr>
          <w:rFonts w:ascii="Arial" w:hAnsi="Arial" w:cs="Arial"/>
        </w:rPr>
        <w:t>be excluded from gross income f</w:t>
      </w:r>
      <w:r w:rsidR="00CC2DD3">
        <w:rPr>
          <w:rFonts w:ascii="Arial" w:hAnsi="Arial" w:cs="Arial"/>
        </w:rPr>
        <w:t>or federal income tax purposes.</w:t>
      </w:r>
      <w:r w:rsidRPr="001B31FD">
        <w:rPr>
          <w:rFonts w:ascii="Arial" w:hAnsi="Arial" w:cs="Arial"/>
        </w:rPr>
        <w:t xml:space="preserve">* </w:t>
      </w:r>
    </w:p>
    <w:p w:rsidR="00017CE9" w:rsidRPr="00017CE9" w:rsidRDefault="00017CE9" w:rsidP="00017CE9">
      <w:pPr>
        <w:pStyle w:val="ListParagraph"/>
        <w:spacing w:after="120"/>
        <w:ind w:left="360"/>
        <w:rPr>
          <w:rFonts w:ascii="Arial" w:hAnsi="Arial" w:cs="Arial"/>
          <w:sz w:val="20"/>
          <w:szCs w:val="20"/>
        </w:rPr>
      </w:pPr>
    </w:p>
    <w:p w:rsidR="00677142" w:rsidRPr="007E3775" w:rsidRDefault="00592F66" w:rsidP="007E3775">
      <w:pPr>
        <w:spacing w:after="120"/>
        <w:rPr>
          <w:rFonts w:ascii="Arial" w:hAnsi="Arial" w:cs="Arial"/>
          <w:sz w:val="21"/>
          <w:szCs w:val="21"/>
        </w:rPr>
      </w:pPr>
      <w:r w:rsidRPr="007E3775">
        <w:rPr>
          <w:rFonts w:ascii="Arial" w:hAnsi="Arial" w:cs="Arial"/>
          <w:b/>
          <w:sz w:val="21"/>
          <w:szCs w:val="21"/>
          <w:u w:val="single"/>
        </w:rPr>
        <w:t>Documentation</w:t>
      </w:r>
      <w:r w:rsidRPr="007E3775">
        <w:rPr>
          <w:rFonts w:ascii="Arial" w:hAnsi="Arial" w:cs="Arial"/>
          <w:b/>
          <w:sz w:val="21"/>
          <w:szCs w:val="21"/>
        </w:rPr>
        <w:t xml:space="preserve"> </w:t>
      </w:r>
      <w:r w:rsidR="00677142" w:rsidRPr="007E3775">
        <w:rPr>
          <w:rFonts w:ascii="Arial" w:hAnsi="Arial" w:cs="Arial"/>
          <w:b/>
          <w:sz w:val="21"/>
          <w:szCs w:val="21"/>
        </w:rPr>
        <w:t xml:space="preserve">– </w:t>
      </w:r>
      <w:r w:rsidRPr="007E3775">
        <w:rPr>
          <w:rFonts w:ascii="Arial" w:hAnsi="Arial" w:cs="Arial"/>
          <w:sz w:val="21"/>
          <w:szCs w:val="21"/>
        </w:rPr>
        <w:t>The Funding Loan is documented with:</w:t>
      </w:r>
      <w:r w:rsidRPr="007E3775">
        <w:rPr>
          <w:rFonts w:ascii="Arial" w:hAnsi="Arial" w:cs="Arial"/>
          <w:b/>
          <w:sz w:val="21"/>
          <w:szCs w:val="21"/>
        </w:rPr>
        <w:t xml:space="preserve"> </w:t>
      </w:r>
    </w:p>
    <w:p w:rsidR="00592F66" w:rsidRPr="001B31FD" w:rsidRDefault="00592F66" w:rsidP="001B31FD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</w:rPr>
      </w:pPr>
      <w:r w:rsidRPr="001B31FD">
        <w:rPr>
          <w:rFonts w:ascii="Arial" w:hAnsi="Arial" w:cs="Arial"/>
        </w:rPr>
        <w:t>A Governmental Note (as described above).</w:t>
      </w:r>
    </w:p>
    <w:p w:rsidR="00592F66" w:rsidRPr="001B31FD" w:rsidRDefault="00592F66" w:rsidP="001B31FD">
      <w:pPr>
        <w:pStyle w:val="ListParagraph"/>
        <w:numPr>
          <w:ilvl w:val="0"/>
          <w:numId w:val="4"/>
        </w:numPr>
        <w:spacing w:after="60"/>
        <w:contextualSpacing w:val="0"/>
        <w:rPr>
          <w:rFonts w:ascii="Arial" w:hAnsi="Arial" w:cs="Arial"/>
        </w:rPr>
      </w:pPr>
      <w:r w:rsidRPr="001B31FD">
        <w:rPr>
          <w:rFonts w:ascii="Arial" w:hAnsi="Arial" w:cs="Arial"/>
        </w:rPr>
        <w:t xml:space="preserve">A Funding Loan Agreement among the Governmental Issuer, the </w:t>
      </w:r>
      <w:r w:rsidR="00F928B2" w:rsidRPr="001B31FD">
        <w:rPr>
          <w:rFonts w:ascii="Arial" w:hAnsi="Arial" w:cs="Arial"/>
        </w:rPr>
        <w:t>S</w:t>
      </w:r>
      <w:r w:rsidRPr="001B31FD">
        <w:rPr>
          <w:rFonts w:ascii="Arial" w:hAnsi="Arial" w:cs="Arial"/>
        </w:rPr>
        <w:t>eller/</w:t>
      </w:r>
      <w:r w:rsidR="00F928B2" w:rsidRPr="001B31FD">
        <w:rPr>
          <w:rFonts w:ascii="Arial" w:hAnsi="Arial" w:cs="Arial"/>
        </w:rPr>
        <w:t>S</w:t>
      </w:r>
      <w:r w:rsidRPr="001B31FD">
        <w:rPr>
          <w:rFonts w:ascii="Arial" w:hAnsi="Arial" w:cs="Arial"/>
        </w:rPr>
        <w:t xml:space="preserve">ervicer </w:t>
      </w:r>
      <w:r w:rsidR="00713CF0">
        <w:rPr>
          <w:rFonts w:ascii="Arial" w:hAnsi="Arial" w:cs="Arial"/>
        </w:rPr>
        <w:t xml:space="preserve">(or construction lender) </w:t>
      </w:r>
      <w:r w:rsidRPr="001B31FD">
        <w:rPr>
          <w:rFonts w:ascii="Arial" w:hAnsi="Arial" w:cs="Arial"/>
        </w:rPr>
        <w:t xml:space="preserve">and a Fiscal Agent, which is a bank with trust powers appointed by the Governmental Issuer.  </w:t>
      </w:r>
    </w:p>
    <w:p w:rsidR="00F928B2" w:rsidRPr="001B31FD" w:rsidRDefault="00225F1A" w:rsidP="006A65E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B31FD">
        <w:rPr>
          <w:rFonts w:ascii="Arial" w:hAnsi="Arial" w:cs="Arial"/>
        </w:rPr>
        <w:t>The Funding Loan Agreement operates much as a Trust Indenture does in a bond transaction</w:t>
      </w:r>
      <w:r w:rsidR="00F928B2" w:rsidRPr="001B31FD">
        <w:rPr>
          <w:rFonts w:ascii="Arial" w:hAnsi="Arial" w:cs="Arial"/>
        </w:rPr>
        <w:t>.</w:t>
      </w:r>
      <w:r w:rsidRPr="001B31FD">
        <w:rPr>
          <w:rFonts w:ascii="Arial" w:hAnsi="Arial" w:cs="Arial"/>
        </w:rPr>
        <w:t xml:space="preserve">  </w:t>
      </w:r>
    </w:p>
    <w:p w:rsidR="00FC6454" w:rsidRPr="001B31FD" w:rsidRDefault="00F928B2" w:rsidP="001B31FD">
      <w:pPr>
        <w:pStyle w:val="ListParagraph"/>
        <w:numPr>
          <w:ilvl w:val="0"/>
          <w:numId w:val="14"/>
        </w:numPr>
        <w:spacing w:after="60"/>
        <w:contextualSpacing w:val="0"/>
        <w:rPr>
          <w:rFonts w:ascii="Arial" w:hAnsi="Arial" w:cs="Arial"/>
        </w:rPr>
      </w:pPr>
      <w:r w:rsidRPr="001B31FD">
        <w:rPr>
          <w:rFonts w:ascii="Arial" w:hAnsi="Arial" w:cs="Arial"/>
        </w:rPr>
        <w:t xml:space="preserve">The </w:t>
      </w:r>
      <w:r w:rsidR="00225F1A" w:rsidRPr="001B31FD">
        <w:rPr>
          <w:rFonts w:ascii="Arial" w:hAnsi="Arial" w:cs="Arial"/>
        </w:rPr>
        <w:t xml:space="preserve">Fiscal Agent performs functions similar to those of a bond trustee </w:t>
      </w:r>
      <w:r w:rsidR="00FC6454" w:rsidRPr="001B31FD">
        <w:rPr>
          <w:rFonts w:ascii="Arial" w:hAnsi="Arial" w:cs="Arial"/>
        </w:rPr>
        <w:t xml:space="preserve">in that it takes an assignment of the Project Loan documents from the Governmental Issuer and administers the Project Loan for the benefit of the holder of the Governmental Note.  </w:t>
      </w:r>
    </w:p>
    <w:p w:rsidR="00FC6454" w:rsidRPr="001B31FD" w:rsidRDefault="00FC6454" w:rsidP="0079034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B31FD">
        <w:rPr>
          <w:rFonts w:ascii="Arial" w:hAnsi="Arial" w:cs="Arial"/>
        </w:rPr>
        <w:t xml:space="preserve">The Project Loan is documented with: </w:t>
      </w:r>
    </w:p>
    <w:p w:rsidR="00FC6454" w:rsidRPr="001B31FD" w:rsidRDefault="00FC6454" w:rsidP="006A65E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B31FD">
        <w:rPr>
          <w:rFonts w:ascii="Arial" w:hAnsi="Arial" w:cs="Arial"/>
        </w:rPr>
        <w:t xml:space="preserve">A Project Note. </w:t>
      </w:r>
    </w:p>
    <w:p w:rsidR="00FC6454" w:rsidRPr="001B31FD" w:rsidRDefault="00FC6454" w:rsidP="006A65E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B31FD">
        <w:rPr>
          <w:rFonts w:ascii="Arial" w:hAnsi="Arial" w:cs="Arial"/>
        </w:rPr>
        <w:t xml:space="preserve">A Project Loan Agreement. </w:t>
      </w:r>
    </w:p>
    <w:p w:rsidR="00FC6454" w:rsidRPr="001B31FD" w:rsidRDefault="00FC6454" w:rsidP="006A65E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B31FD">
        <w:rPr>
          <w:rFonts w:ascii="Arial" w:hAnsi="Arial" w:cs="Arial"/>
        </w:rPr>
        <w:t xml:space="preserve">A </w:t>
      </w:r>
      <w:r w:rsidR="00F928B2" w:rsidRPr="001B31FD">
        <w:rPr>
          <w:rFonts w:ascii="Arial" w:hAnsi="Arial" w:cs="Arial"/>
        </w:rPr>
        <w:t>s</w:t>
      </w:r>
      <w:r w:rsidRPr="001B31FD">
        <w:rPr>
          <w:rFonts w:ascii="Arial" w:hAnsi="Arial" w:cs="Arial"/>
        </w:rPr>
        <w:t xml:space="preserve">ecurity </w:t>
      </w:r>
      <w:r w:rsidR="00F928B2" w:rsidRPr="001B31FD">
        <w:rPr>
          <w:rFonts w:ascii="Arial" w:hAnsi="Arial" w:cs="Arial"/>
        </w:rPr>
        <w:t>i</w:t>
      </w:r>
      <w:r w:rsidRPr="001B31FD">
        <w:rPr>
          <w:rFonts w:ascii="Arial" w:hAnsi="Arial" w:cs="Arial"/>
        </w:rPr>
        <w:t xml:space="preserve">nstrument and other ancillary documents.  </w:t>
      </w:r>
    </w:p>
    <w:p w:rsidR="00592F66" w:rsidRDefault="0065368F" w:rsidP="001B31FD">
      <w:pPr>
        <w:pStyle w:val="ListParagraph"/>
        <w:numPr>
          <w:ilvl w:val="0"/>
          <w:numId w:val="6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65368F">
        <w:rPr>
          <w:rFonts w:ascii="Arial" w:hAnsi="Arial" w:cs="Arial"/>
          <w:sz w:val="21"/>
          <w:szCs w:val="21"/>
        </w:rPr>
        <w:lastRenderedPageBreak/>
        <w:t>Continuing Covenant Agreement</w:t>
      </w:r>
      <w:r w:rsidR="00456AF2">
        <w:rPr>
          <w:rFonts w:ascii="Arial" w:hAnsi="Arial" w:cs="Arial"/>
          <w:sz w:val="21"/>
          <w:szCs w:val="21"/>
        </w:rPr>
        <w:t xml:space="preserve"> - </w:t>
      </w:r>
      <w:r w:rsidR="00456AF2" w:rsidRPr="00456AF2">
        <w:rPr>
          <w:rFonts w:ascii="Arial" w:hAnsi="Arial" w:cs="Arial"/>
          <w:sz w:val="21"/>
          <w:szCs w:val="21"/>
        </w:rPr>
        <w:t xml:space="preserve">In addition to the Funding Loan and Project Loan documents, for each </w:t>
      </w:r>
      <w:r w:rsidR="002B26EF">
        <w:rPr>
          <w:rFonts w:ascii="Arial" w:hAnsi="Arial" w:cs="Arial"/>
          <w:sz w:val="21"/>
          <w:szCs w:val="21"/>
        </w:rPr>
        <w:t>TEL</w:t>
      </w:r>
      <w:r w:rsidR="00456AF2" w:rsidRPr="00456AF2">
        <w:rPr>
          <w:rFonts w:ascii="Arial" w:hAnsi="Arial" w:cs="Arial"/>
          <w:sz w:val="21"/>
          <w:szCs w:val="21"/>
        </w:rPr>
        <w:t xml:space="preserve"> the </w:t>
      </w:r>
      <w:r w:rsidR="00F928B2">
        <w:rPr>
          <w:rFonts w:ascii="Arial" w:hAnsi="Arial" w:cs="Arial"/>
          <w:sz w:val="21"/>
          <w:szCs w:val="21"/>
        </w:rPr>
        <w:t>S</w:t>
      </w:r>
      <w:r w:rsidR="00456AF2" w:rsidRPr="00456AF2">
        <w:rPr>
          <w:rFonts w:ascii="Arial" w:hAnsi="Arial" w:cs="Arial"/>
          <w:sz w:val="21"/>
          <w:szCs w:val="21"/>
        </w:rPr>
        <w:t>eller/</w:t>
      </w:r>
      <w:r w:rsidR="00F928B2">
        <w:rPr>
          <w:rFonts w:ascii="Arial" w:hAnsi="Arial" w:cs="Arial"/>
          <w:sz w:val="21"/>
          <w:szCs w:val="21"/>
        </w:rPr>
        <w:t>S</w:t>
      </w:r>
      <w:r w:rsidR="00456AF2" w:rsidRPr="00456AF2">
        <w:rPr>
          <w:rFonts w:ascii="Arial" w:hAnsi="Arial" w:cs="Arial"/>
          <w:sz w:val="21"/>
          <w:szCs w:val="21"/>
        </w:rPr>
        <w:t>ervicer and the borrower enter into a Continuing Covenant Agreement which:</w:t>
      </w:r>
    </w:p>
    <w:p w:rsidR="00456AF2" w:rsidRPr="00456AF2" w:rsidRDefault="00456AF2" w:rsidP="00456AF2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456AF2">
        <w:rPr>
          <w:rFonts w:ascii="Arial" w:hAnsi="Arial" w:cs="Arial"/>
          <w:sz w:val="21"/>
          <w:szCs w:val="21"/>
        </w:rPr>
        <w:t>Contains customary Freddie Mac borrower covenants and representations and warranties.</w:t>
      </w:r>
    </w:p>
    <w:p w:rsidR="00456AF2" w:rsidRPr="00456AF2" w:rsidRDefault="00456AF2" w:rsidP="00456AF2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456AF2">
        <w:rPr>
          <w:rFonts w:ascii="Arial" w:hAnsi="Arial" w:cs="Arial"/>
          <w:sz w:val="21"/>
          <w:szCs w:val="21"/>
        </w:rPr>
        <w:t xml:space="preserve">Is assigned by the </w:t>
      </w:r>
      <w:r w:rsidR="00F928B2">
        <w:rPr>
          <w:rFonts w:ascii="Arial" w:hAnsi="Arial" w:cs="Arial"/>
          <w:sz w:val="21"/>
          <w:szCs w:val="21"/>
        </w:rPr>
        <w:t>S</w:t>
      </w:r>
      <w:r w:rsidRPr="00456AF2">
        <w:rPr>
          <w:rFonts w:ascii="Arial" w:hAnsi="Arial" w:cs="Arial"/>
          <w:sz w:val="21"/>
          <w:szCs w:val="21"/>
        </w:rPr>
        <w:t>eller/</w:t>
      </w:r>
      <w:r w:rsidR="00F928B2">
        <w:rPr>
          <w:rFonts w:ascii="Arial" w:hAnsi="Arial" w:cs="Arial"/>
          <w:sz w:val="21"/>
          <w:szCs w:val="21"/>
        </w:rPr>
        <w:t>S</w:t>
      </w:r>
      <w:r w:rsidRPr="00456AF2">
        <w:rPr>
          <w:rFonts w:ascii="Arial" w:hAnsi="Arial" w:cs="Arial"/>
          <w:sz w:val="21"/>
          <w:szCs w:val="21"/>
        </w:rPr>
        <w:t xml:space="preserve">ervicer to Freddie Mac upon </w:t>
      </w:r>
      <w:r w:rsidR="002B26EF">
        <w:rPr>
          <w:rFonts w:ascii="Arial" w:hAnsi="Arial" w:cs="Arial"/>
          <w:sz w:val="21"/>
          <w:szCs w:val="21"/>
        </w:rPr>
        <w:t>Freddie Mac’s</w:t>
      </w:r>
      <w:r w:rsidRPr="00456AF2">
        <w:rPr>
          <w:rFonts w:ascii="Arial" w:hAnsi="Arial" w:cs="Arial"/>
          <w:sz w:val="21"/>
          <w:szCs w:val="21"/>
        </w:rPr>
        <w:t xml:space="preserve"> purchase of the Governmental Note.  </w:t>
      </w:r>
    </w:p>
    <w:p w:rsidR="00677142" w:rsidRPr="007E3775" w:rsidRDefault="009B17DF" w:rsidP="007E3775">
      <w:pPr>
        <w:spacing w:after="1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TELs</w:t>
      </w:r>
      <w:r w:rsidR="00F928B2" w:rsidRPr="007E3775">
        <w:rPr>
          <w:rFonts w:ascii="Arial" w:hAnsi="Arial" w:cs="Arial"/>
          <w:b/>
          <w:sz w:val="21"/>
          <w:szCs w:val="21"/>
          <w:u w:val="single"/>
        </w:rPr>
        <w:t xml:space="preserve"> and</w:t>
      </w:r>
      <w:r w:rsidR="00707475" w:rsidRPr="007E3775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BE48D6" w:rsidRPr="007E3775">
        <w:rPr>
          <w:rFonts w:ascii="Arial" w:hAnsi="Arial" w:cs="Arial"/>
          <w:b/>
          <w:sz w:val="21"/>
          <w:szCs w:val="21"/>
          <w:u w:val="single"/>
        </w:rPr>
        <w:t>Securitization</w:t>
      </w:r>
      <w:r w:rsidR="00677142" w:rsidRPr="007E3775">
        <w:rPr>
          <w:rFonts w:ascii="Arial" w:hAnsi="Arial" w:cs="Arial"/>
          <w:sz w:val="21"/>
          <w:szCs w:val="21"/>
        </w:rPr>
        <w:t xml:space="preserve"> – </w:t>
      </w:r>
      <w:r w:rsidR="00BE48D6" w:rsidRPr="007E3775">
        <w:rPr>
          <w:rFonts w:ascii="Arial" w:hAnsi="Arial" w:cs="Arial"/>
          <w:sz w:val="21"/>
          <w:szCs w:val="21"/>
        </w:rPr>
        <w:t xml:space="preserve"> The </w:t>
      </w:r>
      <w:r>
        <w:rPr>
          <w:rFonts w:ascii="Arial" w:hAnsi="Arial" w:cs="Arial"/>
          <w:sz w:val="21"/>
          <w:szCs w:val="21"/>
        </w:rPr>
        <w:t>TELs</w:t>
      </w:r>
      <w:r w:rsidR="00BE48D6" w:rsidRPr="007E3775">
        <w:rPr>
          <w:rFonts w:ascii="Arial" w:hAnsi="Arial" w:cs="Arial"/>
          <w:sz w:val="21"/>
          <w:szCs w:val="21"/>
        </w:rPr>
        <w:t xml:space="preserve"> will be:</w:t>
      </w:r>
    </w:p>
    <w:p w:rsidR="00BE48D6" w:rsidRDefault="00BE48D6" w:rsidP="001B31FD">
      <w:pPr>
        <w:pStyle w:val="ListParagraph"/>
        <w:numPr>
          <w:ilvl w:val="0"/>
          <w:numId w:val="9"/>
        </w:numPr>
        <w:tabs>
          <w:tab w:val="left" w:pos="450"/>
        </w:tabs>
        <w:spacing w:after="60"/>
        <w:contextualSpacing w:val="0"/>
        <w:rPr>
          <w:rFonts w:ascii="Arial" w:hAnsi="Arial" w:cs="Arial"/>
        </w:rPr>
      </w:pPr>
      <w:r w:rsidRPr="001B31FD">
        <w:rPr>
          <w:rFonts w:ascii="Arial" w:hAnsi="Arial" w:cs="Arial"/>
        </w:rPr>
        <w:t xml:space="preserve">Acquired and held by Freddie Mac until an optimal principal balance is aggregated, and then </w:t>
      </w:r>
      <w:r w:rsidR="00F928B2" w:rsidRPr="001B31FD">
        <w:rPr>
          <w:rFonts w:ascii="Arial" w:hAnsi="Arial" w:cs="Arial"/>
        </w:rPr>
        <w:t>s</w:t>
      </w:r>
      <w:r w:rsidRPr="001B31FD">
        <w:rPr>
          <w:rFonts w:ascii="Arial" w:hAnsi="Arial" w:cs="Arial"/>
        </w:rPr>
        <w:t xml:space="preserve">ecuritized through </w:t>
      </w:r>
      <w:r w:rsidR="00B27351">
        <w:rPr>
          <w:rFonts w:ascii="Arial" w:hAnsi="Arial" w:cs="Arial"/>
        </w:rPr>
        <w:t xml:space="preserve">either our </w:t>
      </w:r>
      <w:r w:rsidR="00707475">
        <w:rPr>
          <w:rFonts w:ascii="Arial" w:hAnsi="Arial" w:cs="Arial"/>
        </w:rPr>
        <w:t xml:space="preserve">ML-Deal </w:t>
      </w:r>
      <w:r w:rsidR="009B17DF">
        <w:rPr>
          <w:rFonts w:ascii="Arial" w:hAnsi="Arial" w:cs="Arial"/>
        </w:rPr>
        <w:t xml:space="preserve">or Multi PC </w:t>
      </w:r>
      <w:r w:rsidR="00707475">
        <w:rPr>
          <w:rFonts w:ascii="Arial" w:hAnsi="Arial" w:cs="Arial"/>
        </w:rPr>
        <w:t>structure</w:t>
      </w:r>
      <w:r w:rsidR="009B17DF">
        <w:rPr>
          <w:rFonts w:ascii="Arial" w:hAnsi="Arial" w:cs="Arial"/>
        </w:rPr>
        <w:t>s</w:t>
      </w:r>
      <w:r w:rsidR="00707475">
        <w:rPr>
          <w:rFonts w:ascii="Arial" w:hAnsi="Arial" w:cs="Arial"/>
        </w:rPr>
        <w:t>.</w:t>
      </w:r>
    </w:p>
    <w:p w:rsidR="00707475" w:rsidRPr="00707475" w:rsidRDefault="00707475" w:rsidP="003C3040">
      <w:pPr>
        <w:pStyle w:val="ListParagraph"/>
        <w:numPr>
          <w:ilvl w:val="0"/>
          <w:numId w:val="9"/>
        </w:numPr>
        <w:tabs>
          <w:tab w:val="left" w:pos="450"/>
        </w:tabs>
        <w:spacing w:after="120" w:line="240" w:lineRule="auto"/>
        <w:rPr>
          <w:rFonts w:ascii="Arial" w:hAnsi="Arial" w:cs="Arial"/>
        </w:rPr>
      </w:pPr>
      <w:r w:rsidRPr="00707475">
        <w:rPr>
          <w:rFonts w:ascii="Arial" w:hAnsi="Arial" w:cs="Arial"/>
        </w:rPr>
        <w:t>In an ML-Deal execution</w:t>
      </w:r>
      <w:r w:rsidR="00CC2DD3">
        <w:rPr>
          <w:rFonts w:ascii="Arial" w:hAnsi="Arial" w:cs="Arial"/>
        </w:rPr>
        <w:t>:</w:t>
      </w:r>
    </w:p>
    <w:p w:rsidR="009B17DF" w:rsidRPr="009B17DF" w:rsidRDefault="009B17DF" w:rsidP="003C3040">
      <w:pPr>
        <w:numPr>
          <w:ilvl w:val="0"/>
          <w:numId w:val="18"/>
        </w:num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lang w:val="en"/>
        </w:rPr>
      </w:pPr>
      <w:r w:rsidRPr="009B17DF">
        <w:rPr>
          <w:rFonts w:ascii="Arial" w:eastAsia="Times New Roman" w:hAnsi="Arial" w:cs="Arial"/>
          <w:color w:val="000000"/>
          <w:lang w:val="en"/>
        </w:rPr>
        <w:t>The fixed-rate TELs are transferred by Freddie Mac to a trust, treated as a partnership for federal income tax purposes</w:t>
      </w:r>
      <w:r w:rsidR="00D974A3">
        <w:rPr>
          <w:rFonts w:ascii="Arial" w:eastAsia="Times New Roman" w:hAnsi="Arial" w:cs="Arial"/>
          <w:color w:val="000000"/>
          <w:lang w:val="en"/>
        </w:rPr>
        <w:t>*</w:t>
      </w:r>
      <w:r w:rsidR="002B26EF">
        <w:rPr>
          <w:rFonts w:ascii="Arial" w:eastAsia="Times New Roman" w:hAnsi="Arial" w:cs="Arial"/>
          <w:color w:val="000000"/>
          <w:sz w:val="17"/>
          <w:szCs w:val="17"/>
          <w:vertAlign w:val="superscript"/>
          <w:lang w:val="en"/>
        </w:rPr>
        <w:t xml:space="preserve">  </w:t>
      </w:r>
    </w:p>
    <w:p w:rsidR="009B17DF" w:rsidRPr="009B17DF" w:rsidRDefault="002B26EF" w:rsidP="003C3040">
      <w:pPr>
        <w:numPr>
          <w:ilvl w:val="0"/>
          <w:numId w:val="18"/>
        </w:num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Any related</w:t>
      </w:r>
      <w:r w:rsidRPr="009B17DF">
        <w:rPr>
          <w:rFonts w:ascii="Arial" w:eastAsia="Times New Roman" w:hAnsi="Arial" w:cs="Arial"/>
          <w:color w:val="000000"/>
          <w:lang w:val="en"/>
        </w:rPr>
        <w:t xml:space="preserve"> </w:t>
      </w:r>
      <w:r w:rsidR="009B17DF" w:rsidRPr="009B17DF">
        <w:rPr>
          <w:rFonts w:ascii="Arial" w:eastAsia="Times New Roman" w:hAnsi="Arial" w:cs="Arial"/>
          <w:color w:val="000000"/>
          <w:lang w:val="en"/>
        </w:rPr>
        <w:t xml:space="preserve">fixed-rate </w:t>
      </w:r>
      <w:r>
        <w:rPr>
          <w:rFonts w:ascii="Arial" w:eastAsia="Times New Roman" w:hAnsi="Arial" w:cs="Arial"/>
          <w:color w:val="000000"/>
          <w:lang w:val="en"/>
        </w:rPr>
        <w:t>t</w:t>
      </w:r>
      <w:r w:rsidR="009B17DF" w:rsidRPr="009B17DF">
        <w:rPr>
          <w:rFonts w:ascii="Arial" w:eastAsia="Times New Roman" w:hAnsi="Arial" w:cs="Arial"/>
          <w:color w:val="000000"/>
          <w:lang w:val="en"/>
        </w:rPr>
        <w:t xml:space="preserve">axable </w:t>
      </w:r>
      <w:r>
        <w:rPr>
          <w:rFonts w:ascii="Arial" w:eastAsia="Times New Roman" w:hAnsi="Arial" w:cs="Arial"/>
          <w:color w:val="000000"/>
          <w:lang w:val="en"/>
        </w:rPr>
        <w:t>l</w:t>
      </w:r>
      <w:r w:rsidR="009B17DF" w:rsidRPr="009B17DF">
        <w:rPr>
          <w:rFonts w:ascii="Arial" w:eastAsia="Times New Roman" w:hAnsi="Arial" w:cs="Arial"/>
          <w:color w:val="000000"/>
          <w:lang w:val="en"/>
        </w:rPr>
        <w:t>oans are transferred by Freddie Mac into a taxable loan trust, treated as a REMIC for federal income tax purposes</w:t>
      </w:r>
      <w:r w:rsidR="00D974A3">
        <w:rPr>
          <w:rFonts w:ascii="Arial" w:eastAsia="Times New Roman" w:hAnsi="Arial" w:cs="Arial"/>
          <w:color w:val="000000"/>
          <w:lang w:val="en"/>
        </w:rPr>
        <w:t>*</w:t>
      </w:r>
    </w:p>
    <w:p w:rsidR="000464AF" w:rsidRDefault="009B17DF" w:rsidP="003C3040">
      <w:pPr>
        <w:numPr>
          <w:ilvl w:val="0"/>
          <w:numId w:val="18"/>
        </w:numPr>
        <w:shd w:val="clear" w:color="auto" w:fill="FFFFFF"/>
        <w:spacing w:after="120" w:line="240" w:lineRule="auto"/>
        <w:ind w:left="720"/>
        <w:contextualSpacing/>
        <w:rPr>
          <w:rFonts w:ascii="Arial" w:eastAsia="Times New Roman" w:hAnsi="Arial" w:cs="Arial"/>
          <w:color w:val="000000"/>
          <w:lang w:val="en"/>
        </w:rPr>
      </w:pPr>
      <w:r w:rsidRPr="009B17DF">
        <w:rPr>
          <w:rFonts w:ascii="Arial" w:eastAsia="Times New Roman" w:hAnsi="Arial" w:cs="Arial"/>
          <w:color w:val="000000"/>
          <w:lang w:val="en"/>
        </w:rPr>
        <w:t xml:space="preserve">In exchange for the fixed-rate </w:t>
      </w:r>
      <w:proofErr w:type="spellStart"/>
      <w:r w:rsidRPr="009B17DF">
        <w:rPr>
          <w:rFonts w:ascii="Arial" w:eastAsia="Times New Roman" w:hAnsi="Arial" w:cs="Arial"/>
          <w:color w:val="000000"/>
          <w:lang w:val="en"/>
        </w:rPr>
        <w:t>TELs</w:t>
      </w:r>
      <w:proofErr w:type="spellEnd"/>
      <w:r w:rsidRPr="009B17DF">
        <w:rPr>
          <w:rFonts w:ascii="Arial" w:eastAsia="Times New Roman" w:hAnsi="Arial" w:cs="Arial"/>
          <w:color w:val="000000"/>
          <w:lang w:val="en"/>
        </w:rPr>
        <w:t xml:space="preserve">, the </w:t>
      </w:r>
      <w:r w:rsidR="002B26EF">
        <w:rPr>
          <w:rFonts w:ascii="Arial" w:eastAsia="Times New Roman" w:hAnsi="Arial" w:cs="Arial"/>
          <w:color w:val="000000"/>
          <w:lang w:val="en"/>
        </w:rPr>
        <w:t>t</w:t>
      </w:r>
      <w:r w:rsidRPr="009B17DF">
        <w:rPr>
          <w:rFonts w:ascii="Arial" w:eastAsia="Times New Roman" w:hAnsi="Arial" w:cs="Arial"/>
          <w:color w:val="000000"/>
          <w:lang w:val="en"/>
        </w:rPr>
        <w:t xml:space="preserve">rustee, on behalf of the TEL trust, issues floating-rate Freddie Mac Guaranteed Certificates (Tax-Exempt </w:t>
      </w:r>
      <w:proofErr w:type="spellStart"/>
      <w:r w:rsidRPr="009B17DF">
        <w:rPr>
          <w:rFonts w:ascii="Arial" w:eastAsia="Times New Roman" w:hAnsi="Arial" w:cs="Arial"/>
          <w:color w:val="000000"/>
          <w:lang w:val="en"/>
        </w:rPr>
        <w:t>ML</w:t>
      </w:r>
      <w:proofErr w:type="spellEnd"/>
      <w:r w:rsidRPr="009B17DF">
        <w:rPr>
          <w:rFonts w:ascii="Arial" w:eastAsia="Times New Roman" w:hAnsi="Arial" w:cs="Arial"/>
          <w:color w:val="000000"/>
          <w:lang w:val="en"/>
        </w:rPr>
        <w:t xml:space="preserve"> Certificates) and Non-Guaranteed Certificates, privately placed with the B-piece buyer </w:t>
      </w:r>
    </w:p>
    <w:p w:rsidR="003C3040" w:rsidRPr="003C3040" w:rsidRDefault="003C3040" w:rsidP="003C3040">
      <w:pPr>
        <w:shd w:val="clear" w:color="auto" w:fill="FFFFFF"/>
        <w:spacing w:after="120" w:line="240" w:lineRule="auto"/>
        <w:ind w:left="720"/>
        <w:contextualSpacing/>
        <w:rPr>
          <w:rFonts w:ascii="Arial" w:eastAsia="Times New Roman" w:hAnsi="Arial" w:cs="Arial"/>
          <w:color w:val="000000"/>
          <w:sz w:val="12"/>
          <w:szCs w:val="12"/>
          <w:lang w:val="en"/>
        </w:rPr>
      </w:pPr>
    </w:p>
    <w:p w:rsidR="009B17DF" w:rsidRPr="009B17DF" w:rsidRDefault="009B17DF" w:rsidP="003C3040">
      <w:pPr>
        <w:numPr>
          <w:ilvl w:val="1"/>
          <w:numId w:val="20"/>
        </w:numPr>
        <w:shd w:val="clear" w:color="auto" w:fill="FFFFFF"/>
        <w:spacing w:before="120" w:after="120" w:line="240" w:lineRule="auto"/>
        <w:contextualSpacing/>
        <w:rPr>
          <w:rFonts w:ascii="Arial" w:eastAsia="Times New Roman" w:hAnsi="Arial" w:cs="Arial"/>
          <w:color w:val="000000"/>
          <w:lang w:val="en"/>
        </w:rPr>
      </w:pPr>
      <w:r w:rsidRPr="009B17DF">
        <w:rPr>
          <w:rFonts w:ascii="Arial" w:eastAsia="Times New Roman" w:hAnsi="Arial" w:cs="Arial"/>
          <w:color w:val="000000"/>
          <w:lang w:val="en"/>
        </w:rPr>
        <w:t xml:space="preserve">Interest payments on the Tax-Exempt </w:t>
      </w:r>
      <w:proofErr w:type="spellStart"/>
      <w:r w:rsidRPr="009B17DF">
        <w:rPr>
          <w:rFonts w:ascii="Arial" w:eastAsia="Times New Roman" w:hAnsi="Arial" w:cs="Arial"/>
          <w:color w:val="000000"/>
          <w:lang w:val="en"/>
        </w:rPr>
        <w:t>ML</w:t>
      </w:r>
      <w:proofErr w:type="spellEnd"/>
      <w:r w:rsidRPr="009B17DF">
        <w:rPr>
          <w:rFonts w:ascii="Arial" w:eastAsia="Times New Roman" w:hAnsi="Arial" w:cs="Arial"/>
          <w:color w:val="000000"/>
          <w:lang w:val="en"/>
        </w:rPr>
        <w:t xml:space="preserve"> Certificates</w:t>
      </w:r>
      <w:r w:rsidR="002B26EF">
        <w:rPr>
          <w:rFonts w:ascii="Arial" w:eastAsia="Times New Roman" w:hAnsi="Arial" w:cs="Arial"/>
          <w:color w:val="000000"/>
          <w:lang w:val="en"/>
        </w:rPr>
        <w:t>,</w:t>
      </w:r>
      <w:r w:rsidRPr="009B17DF">
        <w:rPr>
          <w:rFonts w:ascii="Arial" w:eastAsia="Times New Roman" w:hAnsi="Arial" w:cs="Arial"/>
          <w:color w:val="000000"/>
          <w:lang w:val="en"/>
        </w:rPr>
        <w:t xml:space="preserve"> up to the weighted average coupon (WAC) of the fixed-rate </w:t>
      </w:r>
      <w:proofErr w:type="spellStart"/>
      <w:r w:rsidRPr="009B17DF">
        <w:rPr>
          <w:rFonts w:ascii="Arial" w:eastAsia="Times New Roman" w:hAnsi="Arial" w:cs="Arial"/>
          <w:color w:val="000000"/>
          <w:lang w:val="en"/>
        </w:rPr>
        <w:t>TELs</w:t>
      </w:r>
      <w:proofErr w:type="spellEnd"/>
      <w:r w:rsidR="002B26EF">
        <w:rPr>
          <w:rFonts w:ascii="Arial" w:eastAsia="Times New Roman" w:hAnsi="Arial" w:cs="Arial"/>
          <w:color w:val="000000"/>
          <w:lang w:val="en"/>
        </w:rPr>
        <w:t>,</w:t>
      </w:r>
      <w:r w:rsidRPr="009B17DF">
        <w:rPr>
          <w:rFonts w:ascii="Arial" w:eastAsia="Times New Roman" w:hAnsi="Arial" w:cs="Arial"/>
          <w:color w:val="000000"/>
          <w:lang w:val="en"/>
        </w:rPr>
        <w:t xml:space="preserve"> </w:t>
      </w:r>
      <w:r w:rsidR="002B26EF">
        <w:rPr>
          <w:rFonts w:ascii="Arial" w:eastAsia="Times New Roman" w:hAnsi="Arial" w:cs="Arial"/>
          <w:color w:val="000000"/>
          <w:lang w:val="en"/>
        </w:rPr>
        <w:t>is</w:t>
      </w:r>
      <w:r w:rsidR="002B26EF" w:rsidRPr="009B17DF">
        <w:rPr>
          <w:rFonts w:ascii="Arial" w:eastAsia="Times New Roman" w:hAnsi="Arial" w:cs="Arial"/>
          <w:color w:val="000000"/>
          <w:lang w:val="en"/>
        </w:rPr>
        <w:t xml:space="preserve"> </w:t>
      </w:r>
      <w:r w:rsidRPr="009B17DF">
        <w:rPr>
          <w:rFonts w:ascii="Arial" w:eastAsia="Times New Roman" w:hAnsi="Arial" w:cs="Arial"/>
          <w:color w:val="000000"/>
          <w:lang w:val="en"/>
        </w:rPr>
        <w:t xml:space="preserve">not </w:t>
      </w:r>
      <w:r w:rsidR="002B26EF">
        <w:rPr>
          <w:rFonts w:ascii="Arial" w:eastAsia="Times New Roman" w:hAnsi="Arial" w:cs="Arial"/>
          <w:color w:val="000000"/>
          <w:lang w:val="en"/>
        </w:rPr>
        <w:t xml:space="preserve">expected to </w:t>
      </w:r>
      <w:r w:rsidRPr="009B17DF">
        <w:rPr>
          <w:rFonts w:ascii="Arial" w:eastAsia="Times New Roman" w:hAnsi="Arial" w:cs="Arial"/>
          <w:color w:val="000000"/>
          <w:lang w:val="en"/>
        </w:rPr>
        <w:t>be subject to federal income tax.</w:t>
      </w:r>
      <w:r w:rsidR="002B26EF">
        <w:rPr>
          <w:rFonts w:ascii="Arial" w:eastAsia="Times New Roman" w:hAnsi="Arial" w:cs="Arial"/>
          <w:color w:val="000000"/>
          <w:lang w:val="en"/>
        </w:rPr>
        <w:t>*</w:t>
      </w:r>
      <w:r w:rsidRPr="009B17DF">
        <w:rPr>
          <w:rFonts w:ascii="Arial" w:eastAsia="Times New Roman" w:hAnsi="Arial" w:cs="Arial"/>
          <w:color w:val="000000"/>
          <w:lang w:val="en"/>
        </w:rPr>
        <w:t xml:space="preserve"> Any interest payments in excess of the WAC, including interest paid by the Freddie Mac Guarantee, will be subject to federal income tax</w:t>
      </w:r>
    </w:p>
    <w:p w:rsidR="000464AF" w:rsidRDefault="009B17DF" w:rsidP="003C3040">
      <w:pPr>
        <w:numPr>
          <w:ilvl w:val="1"/>
          <w:numId w:val="20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lang w:val="en"/>
        </w:rPr>
      </w:pPr>
      <w:r w:rsidRPr="009B17DF">
        <w:rPr>
          <w:rFonts w:ascii="Arial" w:eastAsia="Times New Roman" w:hAnsi="Arial" w:cs="Arial"/>
          <w:color w:val="000000"/>
          <w:lang w:val="en"/>
        </w:rPr>
        <w:t>All income received on real estate owned (REO) collateral will be subject to federal income tax</w:t>
      </w:r>
    </w:p>
    <w:p w:rsidR="003C3040" w:rsidRPr="003C3040" w:rsidRDefault="003C3040" w:rsidP="003C3040">
      <w:pPr>
        <w:shd w:val="clear" w:color="auto" w:fill="FFFFFF"/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12"/>
          <w:szCs w:val="12"/>
          <w:lang w:val="en"/>
        </w:rPr>
      </w:pPr>
    </w:p>
    <w:p w:rsidR="000464AF" w:rsidRDefault="000464AF" w:rsidP="003C304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val="en"/>
        </w:rPr>
      </w:pPr>
      <w:r w:rsidRPr="000464AF">
        <w:rPr>
          <w:rFonts w:ascii="Arial" w:eastAsia="Times New Roman" w:hAnsi="Arial" w:cs="Arial"/>
          <w:color w:val="000000"/>
          <w:lang w:val="en"/>
        </w:rPr>
        <w:t xml:space="preserve">In exchange for the fixed-rate </w:t>
      </w:r>
      <w:r w:rsidR="00D974A3">
        <w:rPr>
          <w:rFonts w:ascii="Arial" w:eastAsia="Times New Roman" w:hAnsi="Arial" w:cs="Arial"/>
          <w:color w:val="000000"/>
          <w:lang w:val="en"/>
        </w:rPr>
        <w:t>t</w:t>
      </w:r>
      <w:r w:rsidRPr="000464AF">
        <w:rPr>
          <w:rFonts w:ascii="Arial" w:eastAsia="Times New Roman" w:hAnsi="Arial" w:cs="Arial"/>
          <w:color w:val="000000"/>
          <w:lang w:val="en"/>
        </w:rPr>
        <w:t xml:space="preserve">axable </w:t>
      </w:r>
      <w:r w:rsidR="00D974A3">
        <w:rPr>
          <w:rFonts w:ascii="Arial" w:eastAsia="Times New Roman" w:hAnsi="Arial" w:cs="Arial"/>
          <w:color w:val="000000"/>
          <w:lang w:val="en"/>
        </w:rPr>
        <w:t>l</w:t>
      </w:r>
      <w:r w:rsidRPr="000464AF">
        <w:rPr>
          <w:rFonts w:ascii="Arial" w:eastAsia="Times New Roman" w:hAnsi="Arial" w:cs="Arial"/>
          <w:color w:val="000000"/>
          <w:lang w:val="en"/>
        </w:rPr>
        <w:t xml:space="preserve">oans, the Trustee, on behalf of the taxable loan trust, issues floating-rate Freddie Mac Guaranteed Certificates (Taxable </w:t>
      </w:r>
      <w:proofErr w:type="spellStart"/>
      <w:r w:rsidRPr="000464AF">
        <w:rPr>
          <w:rFonts w:ascii="Arial" w:eastAsia="Times New Roman" w:hAnsi="Arial" w:cs="Arial"/>
          <w:color w:val="000000"/>
          <w:lang w:val="en"/>
        </w:rPr>
        <w:t>ML</w:t>
      </w:r>
      <w:proofErr w:type="spellEnd"/>
      <w:r w:rsidRPr="000464AF">
        <w:rPr>
          <w:rFonts w:ascii="Arial" w:eastAsia="Times New Roman" w:hAnsi="Arial" w:cs="Arial"/>
          <w:color w:val="000000"/>
          <w:lang w:val="en"/>
        </w:rPr>
        <w:t xml:space="preserve"> Certificates) and Non-Guaranteed Certificates, privately placed with the B-piece buyer</w:t>
      </w:r>
    </w:p>
    <w:p w:rsidR="009B17DF" w:rsidRDefault="009B17DF" w:rsidP="000464AF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0000"/>
          <w:lang w:val="en"/>
        </w:rPr>
      </w:pPr>
      <w:r w:rsidRPr="000464AF">
        <w:rPr>
          <w:rFonts w:ascii="Arial" w:eastAsia="Times New Roman" w:hAnsi="Arial" w:cs="Arial"/>
          <w:color w:val="000000"/>
          <w:lang w:val="en"/>
        </w:rPr>
        <w:t xml:space="preserve">Freddie Mac will sell the Tax-Exempt and Taxable </w:t>
      </w:r>
      <w:proofErr w:type="spellStart"/>
      <w:r w:rsidRPr="000464AF">
        <w:rPr>
          <w:rFonts w:ascii="Arial" w:eastAsia="Times New Roman" w:hAnsi="Arial" w:cs="Arial"/>
          <w:color w:val="000000"/>
          <w:lang w:val="en"/>
        </w:rPr>
        <w:t>ML</w:t>
      </w:r>
      <w:proofErr w:type="spellEnd"/>
      <w:r w:rsidRPr="000464AF">
        <w:rPr>
          <w:rFonts w:ascii="Arial" w:eastAsia="Times New Roman" w:hAnsi="Arial" w:cs="Arial"/>
          <w:color w:val="000000"/>
          <w:lang w:val="en"/>
        </w:rPr>
        <w:t xml:space="preserve"> Certificates to the Placement Agents who will sell the Tax-Exempt and Taxable </w:t>
      </w:r>
      <w:proofErr w:type="spellStart"/>
      <w:r w:rsidRPr="000464AF">
        <w:rPr>
          <w:rFonts w:ascii="Arial" w:eastAsia="Times New Roman" w:hAnsi="Arial" w:cs="Arial"/>
          <w:color w:val="000000"/>
          <w:lang w:val="en"/>
        </w:rPr>
        <w:t>ML</w:t>
      </w:r>
      <w:proofErr w:type="spellEnd"/>
      <w:r w:rsidRPr="000464AF">
        <w:rPr>
          <w:rFonts w:ascii="Arial" w:eastAsia="Times New Roman" w:hAnsi="Arial" w:cs="Arial"/>
          <w:color w:val="000000"/>
          <w:lang w:val="en"/>
        </w:rPr>
        <w:t xml:space="preserve"> Certificates to the market</w:t>
      </w:r>
    </w:p>
    <w:p w:rsidR="000464AF" w:rsidRPr="000464AF" w:rsidRDefault="000464AF" w:rsidP="000464AF">
      <w:pPr>
        <w:pStyle w:val="ListParagraph"/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0000"/>
          <w:lang w:val="en"/>
        </w:rPr>
      </w:pPr>
    </w:p>
    <w:p w:rsidR="009B17DF" w:rsidRPr="00CC2DD3" w:rsidRDefault="009B17DF" w:rsidP="00CC2DD3">
      <w:pPr>
        <w:pStyle w:val="ListParagraph"/>
        <w:numPr>
          <w:ilvl w:val="0"/>
          <w:numId w:val="9"/>
        </w:numPr>
        <w:tabs>
          <w:tab w:val="left" w:pos="450"/>
        </w:tabs>
        <w:spacing w:after="60"/>
        <w:rPr>
          <w:rFonts w:ascii="Arial" w:hAnsi="Arial" w:cs="Arial"/>
          <w:color w:val="000000"/>
        </w:rPr>
      </w:pPr>
      <w:r w:rsidRPr="00CC2DD3">
        <w:rPr>
          <w:rFonts w:ascii="Arial" w:hAnsi="Arial" w:cs="Arial"/>
          <w:color w:val="000000"/>
        </w:rPr>
        <w:t>In a Multi PC execution:</w:t>
      </w:r>
    </w:p>
    <w:p w:rsidR="004D6D9A" w:rsidRDefault="009B17DF" w:rsidP="00CC2DD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 w:rsidRPr="004D6D9A">
        <w:rPr>
          <w:rFonts w:ascii="Arial" w:eastAsia="Times New Roman" w:hAnsi="Arial" w:cs="Arial"/>
          <w:color w:val="000000"/>
          <w:lang w:val="en"/>
        </w:rPr>
        <w:t>The TELs are transferred by Freddie Mac to a grantor trust</w:t>
      </w:r>
    </w:p>
    <w:p w:rsidR="009B17DF" w:rsidRPr="00CC2DD3" w:rsidRDefault="009B17DF" w:rsidP="00CC2DD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"/>
        </w:rPr>
      </w:pPr>
      <w:r w:rsidRPr="004D6D9A">
        <w:rPr>
          <w:rFonts w:ascii="Arial" w:eastAsia="Times New Roman" w:hAnsi="Arial" w:cs="Arial"/>
          <w:color w:val="000000"/>
          <w:lang w:val="en"/>
        </w:rPr>
        <w:t xml:space="preserve">In exchange for the </w:t>
      </w:r>
      <w:proofErr w:type="spellStart"/>
      <w:r w:rsidRPr="004D6D9A">
        <w:rPr>
          <w:rFonts w:ascii="Arial" w:eastAsia="Times New Roman" w:hAnsi="Arial" w:cs="Arial"/>
          <w:color w:val="000000"/>
          <w:lang w:val="en"/>
        </w:rPr>
        <w:t>TELs</w:t>
      </w:r>
      <w:proofErr w:type="spellEnd"/>
      <w:r w:rsidRPr="004D6D9A">
        <w:rPr>
          <w:rFonts w:ascii="Arial" w:eastAsia="Times New Roman" w:hAnsi="Arial" w:cs="Arial"/>
          <w:color w:val="000000"/>
          <w:lang w:val="en"/>
        </w:rPr>
        <w:t xml:space="preserve">, the </w:t>
      </w:r>
      <w:r w:rsidR="007D3866">
        <w:rPr>
          <w:rFonts w:ascii="Arial" w:eastAsia="Times New Roman" w:hAnsi="Arial" w:cs="Arial"/>
          <w:color w:val="000000"/>
          <w:lang w:val="en"/>
        </w:rPr>
        <w:t>t</w:t>
      </w:r>
      <w:r w:rsidRPr="004D6D9A">
        <w:rPr>
          <w:rFonts w:ascii="Arial" w:eastAsia="Times New Roman" w:hAnsi="Arial" w:cs="Arial"/>
          <w:color w:val="000000"/>
          <w:lang w:val="en"/>
        </w:rPr>
        <w:t xml:space="preserve">rustee, on behalf of the trust, issues </w:t>
      </w:r>
      <w:r w:rsidR="004D6D9A">
        <w:rPr>
          <w:rFonts w:ascii="Arial" w:eastAsia="Times New Roman" w:hAnsi="Arial" w:cs="Arial"/>
          <w:color w:val="000000"/>
          <w:lang w:val="en"/>
        </w:rPr>
        <w:t xml:space="preserve">fully guaranteed </w:t>
      </w:r>
      <w:r w:rsidRPr="004D6D9A">
        <w:rPr>
          <w:rFonts w:ascii="Arial" w:eastAsia="Times New Roman" w:hAnsi="Arial" w:cs="Arial"/>
          <w:color w:val="000000"/>
          <w:lang w:val="en"/>
        </w:rPr>
        <w:t xml:space="preserve">Freddie Mac </w:t>
      </w:r>
      <w:r w:rsidR="004D6D9A">
        <w:rPr>
          <w:rFonts w:ascii="Arial" w:eastAsia="Times New Roman" w:hAnsi="Arial" w:cs="Arial"/>
          <w:color w:val="000000"/>
          <w:lang w:val="en"/>
        </w:rPr>
        <w:t>Multi PCs where the tax-exempt benefit is expected to be passed on to the investor.</w:t>
      </w:r>
      <w:r w:rsidR="00D974A3">
        <w:rPr>
          <w:rFonts w:ascii="Arial" w:eastAsia="Times New Roman" w:hAnsi="Arial" w:cs="Arial"/>
          <w:color w:val="000000"/>
          <w:lang w:val="en"/>
        </w:rPr>
        <w:t>*</w:t>
      </w:r>
    </w:p>
    <w:p w:rsidR="007C3278" w:rsidRDefault="00E40F84" w:rsidP="001B31FD">
      <w:pPr>
        <w:tabs>
          <w:tab w:val="left" w:pos="450"/>
        </w:tabs>
        <w:rPr>
          <w:rFonts w:ascii="Arial" w:hAnsi="Arial" w:cs="Arial"/>
          <w:color w:val="000000"/>
          <w:sz w:val="20"/>
          <w:szCs w:val="20"/>
        </w:rPr>
      </w:pPr>
      <w:r w:rsidRPr="007E3775">
        <w:rPr>
          <w:rFonts w:ascii="Arial" w:hAnsi="Arial" w:cs="Arial"/>
          <w:b/>
          <w:color w:val="000000"/>
          <w:sz w:val="21"/>
          <w:szCs w:val="21"/>
          <w:u w:val="single"/>
        </w:rPr>
        <w:t>Affordable Housing</w:t>
      </w:r>
      <w:r w:rsidRPr="007E3775">
        <w:rPr>
          <w:rFonts w:ascii="Arial" w:hAnsi="Arial" w:cs="Arial"/>
          <w:sz w:val="21"/>
          <w:szCs w:val="21"/>
        </w:rPr>
        <w:t xml:space="preserve"> –</w:t>
      </w:r>
      <w:r w:rsidR="006A65EB" w:rsidRPr="007E3775">
        <w:rPr>
          <w:rFonts w:ascii="Arial" w:hAnsi="Arial" w:cs="Arial"/>
          <w:sz w:val="21"/>
          <w:szCs w:val="21"/>
        </w:rPr>
        <w:t xml:space="preserve"> By acquiring Governmental Notes through </w:t>
      </w:r>
      <w:r w:rsidR="00D974A3">
        <w:rPr>
          <w:rFonts w:ascii="Arial" w:hAnsi="Arial" w:cs="Arial"/>
          <w:sz w:val="21"/>
          <w:szCs w:val="21"/>
        </w:rPr>
        <w:t xml:space="preserve">its </w:t>
      </w:r>
      <w:r w:rsidR="006A65EB" w:rsidRPr="007E3775">
        <w:rPr>
          <w:rFonts w:ascii="Arial" w:hAnsi="Arial" w:cs="Arial"/>
          <w:sz w:val="21"/>
          <w:szCs w:val="21"/>
        </w:rPr>
        <w:t xml:space="preserve">Direct Purchase of Tax-Exempt Loans </w:t>
      </w:r>
      <w:r w:rsidR="00C9356E">
        <w:rPr>
          <w:rFonts w:ascii="Arial" w:hAnsi="Arial" w:cs="Arial"/>
          <w:sz w:val="21"/>
          <w:szCs w:val="21"/>
        </w:rPr>
        <w:t>Initiative</w:t>
      </w:r>
      <w:r w:rsidR="00D974A3">
        <w:rPr>
          <w:rFonts w:ascii="Arial" w:hAnsi="Arial" w:cs="Arial"/>
          <w:sz w:val="21"/>
          <w:szCs w:val="21"/>
        </w:rPr>
        <w:t xml:space="preserve"> </w:t>
      </w:r>
      <w:r w:rsidR="006A65EB" w:rsidRPr="007E3775">
        <w:rPr>
          <w:rFonts w:ascii="Arial" w:hAnsi="Arial" w:cs="Arial"/>
          <w:sz w:val="21"/>
          <w:szCs w:val="21"/>
        </w:rPr>
        <w:t xml:space="preserve">and securitizing them through the </w:t>
      </w:r>
      <w:proofErr w:type="spellStart"/>
      <w:r w:rsidR="006A65EB" w:rsidRPr="007E3775">
        <w:rPr>
          <w:rFonts w:ascii="Arial" w:hAnsi="Arial" w:cs="Arial"/>
          <w:sz w:val="21"/>
          <w:szCs w:val="21"/>
        </w:rPr>
        <w:t>M</w:t>
      </w:r>
      <w:r w:rsidR="00D974A3">
        <w:rPr>
          <w:rFonts w:ascii="Arial" w:hAnsi="Arial" w:cs="Arial"/>
          <w:sz w:val="21"/>
          <w:szCs w:val="21"/>
        </w:rPr>
        <w:t>L</w:t>
      </w:r>
      <w:proofErr w:type="spellEnd"/>
      <w:r w:rsidR="00C9356E">
        <w:rPr>
          <w:rFonts w:ascii="Arial" w:hAnsi="Arial" w:cs="Arial"/>
          <w:sz w:val="21"/>
          <w:szCs w:val="21"/>
        </w:rPr>
        <w:t>-</w:t>
      </w:r>
      <w:r w:rsidR="008D6BFC" w:rsidRPr="007E3775">
        <w:rPr>
          <w:rFonts w:ascii="Arial" w:hAnsi="Arial" w:cs="Arial"/>
          <w:sz w:val="21"/>
          <w:szCs w:val="21"/>
        </w:rPr>
        <w:t>Deal</w:t>
      </w:r>
      <w:r w:rsidR="00D974A3">
        <w:rPr>
          <w:rFonts w:ascii="Arial" w:hAnsi="Arial" w:cs="Arial"/>
          <w:sz w:val="21"/>
          <w:szCs w:val="21"/>
        </w:rPr>
        <w:t xml:space="preserve"> </w:t>
      </w:r>
      <w:r w:rsidR="007D3866">
        <w:rPr>
          <w:rFonts w:ascii="Arial" w:hAnsi="Arial" w:cs="Arial"/>
          <w:sz w:val="21"/>
          <w:szCs w:val="21"/>
        </w:rPr>
        <w:t xml:space="preserve">or Multi PC </w:t>
      </w:r>
      <w:r w:rsidR="00D974A3">
        <w:rPr>
          <w:rFonts w:ascii="Arial" w:hAnsi="Arial" w:cs="Arial"/>
          <w:sz w:val="21"/>
          <w:szCs w:val="21"/>
        </w:rPr>
        <w:t>structure</w:t>
      </w:r>
      <w:r w:rsidR="007D3866">
        <w:rPr>
          <w:rFonts w:ascii="Arial" w:hAnsi="Arial" w:cs="Arial"/>
          <w:sz w:val="21"/>
          <w:szCs w:val="21"/>
        </w:rPr>
        <w:t>s</w:t>
      </w:r>
      <w:r w:rsidR="006A65EB" w:rsidRPr="007E3775">
        <w:rPr>
          <w:rFonts w:ascii="Arial" w:hAnsi="Arial" w:cs="Arial"/>
          <w:sz w:val="21"/>
          <w:szCs w:val="21"/>
        </w:rPr>
        <w:t>, Freddie Mac will continue to support affordable multifamily housing while transferring a substantial portion of its risk to private investors.</w:t>
      </w:r>
    </w:p>
    <w:p w:rsidR="00EA096C" w:rsidRPr="00EA096C" w:rsidRDefault="006A65EB" w:rsidP="001B31FD">
      <w:pPr>
        <w:tabs>
          <w:tab w:val="left" w:pos="450"/>
        </w:tabs>
        <w:rPr>
          <w:rFonts w:ascii="Arial" w:hAnsi="Arial" w:cs="Arial"/>
          <w:color w:val="000000"/>
          <w:sz w:val="20"/>
          <w:szCs w:val="20"/>
        </w:rPr>
      </w:pPr>
      <w:r w:rsidRPr="006A65EB">
        <w:rPr>
          <w:rFonts w:ascii="Arial" w:hAnsi="Arial" w:cs="Arial"/>
          <w:b/>
          <w:color w:val="000000"/>
          <w:sz w:val="18"/>
          <w:szCs w:val="18"/>
        </w:rPr>
        <w:t>*</w:t>
      </w:r>
      <w:r w:rsidRPr="006A65EB"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 xml:space="preserve">reddie Mac is not rendering tax </w:t>
      </w:r>
      <w:r w:rsidRPr="006A65EB">
        <w:rPr>
          <w:rFonts w:ascii="Arial" w:hAnsi="Arial" w:cs="Arial"/>
          <w:color w:val="000000"/>
          <w:sz w:val="18"/>
          <w:szCs w:val="18"/>
        </w:rPr>
        <w:t xml:space="preserve">or legal advice and appropriate tax and legal counsel should be consulted on all tax and legal aspects and ramifications of the Initiative and its structure.  </w:t>
      </w:r>
    </w:p>
    <w:sectPr w:rsidR="00EA096C" w:rsidRPr="00EA096C" w:rsidSect="00900A1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340" w:right="900" w:bottom="1260" w:left="1080" w:header="0" w:footer="187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B5" w:rsidRDefault="006245B5">
      <w:pPr>
        <w:spacing w:after="0"/>
      </w:pPr>
      <w:r>
        <w:separator/>
      </w:r>
    </w:p>
  </w:endnote>
  <w:endnote w:type="continuationSeparator" w:id="0">
    <w:p w:rsidR="006245B5" w:rsidRDefault="006245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3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0"/>
      <w:gridCol w:w="540"/>
    </w:tblGrid>
    <w:tr w:rsidR="00900A19" w:rsidTr="00846F1C">
      <w:tc>
        <w:tcPr>
          <w:tcW w:w="9990" w:type="dxa"/>
        </w:tcPr>
        <w:p w:rsidR="00900A19" w:rsidRPr="004B3435" w:rsidRDefault="00900A19" w:rsidP="00846F1C">
          <w:pPr>
            <w:tabs>
              <w:tab w:val="left" w:pos="4320"/>
              <w:tab w:val="left" w:pos="8640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Cambria" w:hAnsi="Arial" w:cs="Arial"/>
              <w:color w:val="000000"/>
              <w:sz w:val="13"/>
              <w:szCs w:val="13"/>
            </w:rPr>
          </w:pPr>
          <w:r>
            <w:rPr>
              <w:rFonts w:ascii="Arial" w:eastAsia="Cambria" w:hAnsi="Arial" w:cs="Arial"/>
              <w:noProof/>
              <w:color w:val="000000"/>
              <w:sz w:val="13"/>
              <w:szCs w:val="13"/>
            </w:rPr>
            <w:drawing>
              <wp:anchor distT="0" distB="0" distL="114300" distR="114300" simplePos="0" relativeHeight="251660288" behindDoc="1" locked="0" layoutInCell="1" allowOverlap="1" wp14:anchorId="2E214917" wp14:editId="4DFDC7E7">
                <wp:simplePos x="0" y="0"/>
                <wp:positionH relativeFrom="page">
                  <wp:posOffset>-457200</wp:posOffset>
                </wp:positionH>
                <wp:positionV relativeFrom="page">
                  <wp:posOffset>457200</wp:posOffset>
                </wp:positionV>
                <wp:extent cx="7772400" cy="1133856"/>
                <wp:effectExtent l="0" t="0" r="0" b="952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133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0" w:type="dxa"/>
        </w:tcPr>
        <w:p w:rsidR="00900A19" w:rsidRPr="004B3435" w:rsidRDefault="00900A19" w:rsidP="00846F1C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4B3435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B3435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4B3435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F93EE6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4B3435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</w:tr>
  </w:tbl>
  <w:p w:rsidR="005A65C3" w:rsidRPr="00900A19" w:rsidRDefault="005A65C3" w:rsidP="001B3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3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0"/>
      <w:gridCol w:w="540"/>
    </w:tblGrid>
    <w:tr w:rsidR="004B3435" w:rsidTr="00900A19">
      <w:tc>
        <w:tcPr>
          <w:tcW w:w="9990" w:type="dxa"/>
        </w:tcPr>
        <w:p w:rsidR="004B3435" w:rsidRPr="004B3435" w:rsidRDefault="00900A19" w:rsidP="004B3435">
          <w:pPr>
            <w:tabs>
              <w:tab w:val="left" w:pos="4320"/>
              <w:tab w:val="left" w:pos="8640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Cambria" w:hAnsi="Arial" w:cs="Arial"/>
              <w:color w:val="000000"/>
              <w:sz w:val="13"/>
              <w:szCs w:val="13"/>
            </w:rPr>
          </w:pPr>
          <w:r>
            <w:rPr>
              <w:rFonts w:ascii="Arial" w:eastAsia="Cambria" w:hAnsi="Arial" w:cs="Arial"/>
              <w:noProof/>
              <w:color w:val="000000"/>
              <w:sz w:val="13"/>
              <w:szCs w:val="13"/>
            </w:rPr>
            <w:drawing>
              <wp:anchor distT="0" distB="0" distL="114300" distR="114300" simplePos="0" relativeHeight="251658240" behindDoc="1" locked="0" layoutInCell="1" allowOverlap="1" wp14:anchorId="1461A1CE" wp14:editId="00891E3A">
                <wp:simplePos x="0" y="0"/>
                <wp:positionH relativeFrom="page">
                  <wp:posOffset>-457200</wp:posOffset>
                </wp:positionH>
                <wp:positionV relativeFrom="page">
                  <wp:posOffset>457200</wp:posOffset>
                </wp:positionV>
                <wp:extent cx="7772400" cy="1133856"/>
                <wp:effectExtent l="0" t="0" r="0" b="9525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133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0" w:type="dxa"/>
        </w:tcPr>
        <w:p w:rsidR="004B3435" w:rsidRPr="004B3435" w:rsidRDefault="004B3435" w:rsidP="004B3435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C25F96" w:rsidRPr="004B3435" w:rsidRDefault="00C25F96" w:rsidP="004B3435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B5" w:rsidRDefault="006245B5">
      <w:pPr>
        <w:spacing w:after="0"/>
      </w:pPr>
      <w:r>
        <w:separator/>
      </w:r>
    </w:p>
  </w:footnote>
  <w:footnote w:type="continuationSeparator" w:id="0">
    <w:p w:rsidR="006245B5" w:rsidRDefault="006245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3C" w:rsidRDefault="00D24614">
    <w:pPr>
      <w:pStyle w:val="Header"/>
      <w:ind w:left="-108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646E1D9" wp14:editId="6852F3F5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7772400" cy="1133856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-Forms-2-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33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3C" w:rsidRDefault="00D24614">
    <w:pPr>
      <w:pStyle w:val="Header"/>
      <w:ind w:left="-108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311A7E" wp14:editId="6ED2388D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7772400" cy="15819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-Forms-2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DCA"/>
    <w:multiLevelType w:val="multilevel"/>
    <w:tmpl w:val="8150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37B24"/>
    <w:multiLevelType w:val="hybridMultilevel"/>
    <w:tmpl w:val="D59C53CC"/>
    <w:lvl w:ilvl="0" w:tplc="8A2674D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E5017"/>
    <w:multiLevelType w:val="hybridMultilevel"/>
    <w:tmpl w:val="6CDE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965D4"/>
    <w:multiLevelType w:val="hybridMultilevel"/>
    <w:tmpl w:val="D1123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85E95"/>
    <w:multiLevelType w:val="hybridMultilevel"/>
    <w:tmpl w:val="650E3418"/>
    <w:lvl w:ilvl="0" w:tplc="8A2674D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8A2674DE">
      <w:start w:val="1"/>
      <w:numFmt w:val="bullet"/>
      <w:lvlText w:val="&gt;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C5626"/>
    <w:multiLevelType w:val="hybridMultilevel"/>
    <w:tmpl w:val="6818FE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8A2674DE">
      <w:start w:val="1"/>
      <w:numFmt w:val="bullet"/>
      <w:lvlText w:val="&gt;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35010C"/>
    <w:multiLevelType w:val="multilevel"/>
    <w:tmpl w:val="915049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55648"/>
    <w:multiLevelType w:val="hybridMultilevel"/>
    <w:tmpl w:val="C54A1D3E"/>
    <w:lvl w:ilvl="0" w:tplc="8A2674D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9D10F9"/>
    <w:multiLevelType w:val="hybridMultilevel"/>
    <w:tmpl w:val="1B5CD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44624"/>
    <w:multiLevelType w:val="hybridMultilevel"/>
    <w:tmpl w:val="461036F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3731EC2"/>
    <w:multiLevelType w:val="hybridMultilevel"/>
    <w:tmpl w:val="7CB21C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70E38"/>
    <w:multiLevelType w:val="hybridMultilevel"/>
    <w:tmpl w:val="6F72F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C6A5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915CAD"/>
    <w:multiLevelType w:val="hybridMultilevel"/>
    <w:tmpl w:val="51E8B3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164D"/>
    <w:multiLevelType w:val="hybridMultilevel"/>
    <w:tmpl w:val="7640F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829DD"/>
    <w:multiLevelType w:val="hybridMultilevel"/>
    <w:tmpl w:val="6860C8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75BE9"/>
    <w:multiLevelType w:val="hybridMultilevel"/>
    <w:tmpl w:val="6E4015BE"/>
    <w:lvl w:ilvl="0" w:tplc="8A2674D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8A5038"/>
    <w:multiLevelType w:val="hybridMultilevel"/>
    <w:tmpl w:val="8EDAB8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9B49FB"/>
    <w:multiLevelType w:val="hybridMultilevel"/>
    <w:tmpl w:val="E84C5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2674DE">
      <w:start w:val="1"/>
      <w:numFmt w:val="bullet"/>
      <w:lvlText w:val="&gt;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6715A8"/>
    <w:multiLevelType w:val="multilevel"/>
    <w:tmpl w:val="19D2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22402D"/>
    <w:multiLevelType w:val="hybridMultilevel"/>
    <w:tmpl w:val="6358A62E"/>
    <w:lvl w:ilvl="0" w:tplc="8A2674D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322CCE"/>
    <w:multiLevelType w:val="hybridMultilevel"/>
    <w:tmpl w:val="4B92B7A0"/>
    <w:lvl w:ilvl="0" w:tplc="8A2674D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4"/>
  </w:num>
  <w:num w:numId="9">
    <w:abstractNumId w:val="4"/>
  </w:num>
  <w:num w:numId="10">
    <w:abstractNumId w:val="9"/>
  </w:num>
  <w:num w:numId="11">
    <w:abstractNumId w:val="8"/>
  </w:num>
  <w:num w:numId="12">
    <w:abstractNumId w:val="19"/>
  </w:num>
  <w:num w:numId="13">
    <w:abstractNumId w:val="12"/>
  </w:num>
  <w:num w:numId="14">
    <w:abstractNumId w:val="13"/>
  </w:num>
  <w:num w:numId="15">
    <w:abstractNumId w:val="10"/>
  </w:num>
  <w:num w:numId="16">
    <w:abstractNumId w:val="0"/>
  </w:num>
  <w:num w:numId="17">
    <w:abstractNumId w:val="18"/>
  </w:num>
  <w:num w:numId="18">
    <w:abstractNumId w:val="5"/>
  </w:num>
  <w:num w:numId="19">
    <w:abstractNumId w:val="6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E9"/>
    <w:rsid w:val="00017CE9"/>
    <w:rsid w:val="000464AF"/>
    <w:rsid w:val="0009738F"/>
    <w:rsid w:val="00105B81"/>
    <w:rsid w:val="001B31FD"/>
    <w:rsid w:val="001F4AA8"/>
    <w:rsid w:val="00225F1A"/>
    <w:rsid w:val="002B26EF"/>
    <w:rsid w:val="00320410"/>
    <w:rsid w:val="003C3040"/>
    <w:rsid w:val="00456AF2"/>
    <w:rsid w:val="004812EE"/>
    <w:rsid w:val="004B3435"/>
    <w:rsid w:val="004D6D9A"/>
    <w:rsid w:val="005079A0"/>
    <w:rsid w:val="00543677"/>
    <w:rsid w:val="0054396D"/>
    <w:rsid w:val="00592F66"/>
    <w:rsid w:val="005A65C3"/>
    <w:rsid w:val="006245B5"/>
    <w:rsid w:val="00631A3C"/>
    <w:rsid w:val="0065368F"/>
    <w:rsid w:val="00677142"/>
    <w:rsid w:val="006A65EB"/>
    <w:rsid w:val="006B5ABA"/>
    <w:rsid w:val="006F3018"/>
    <w:rsid w:val="00707475"/>
    <w:rsid w:val="00713CF0"/>
    <w:rsid w:val="007167BC"/>
    <w:rsid w:val="007316DD"/>
    <w:rsid w:val="00790346"/>
    <w:rsid w:val="00795A8D"/>
    <w:rsid w:val="007C3278"/>
    <w:rsid w:val="007D3866"/>
    <w:rsid w:val="007E3775"/>
    <w:rsid w:val="00887F99"/>
    <w:rsid w:val="008D6BFC"/>
    <w:rsid w:val="00900A19"/>
    <w:rsid w:val="00915B2D"/>
    <w:rsid w:val="00921F54"/>
    <w:rsid w:val="009B17DF"/>
    <w:rsid w:val="009C0D9F"/>
    <w:rsid w:val="009C3536"/>
    <w:rsid w:val="00A20DDB"/>
    <w:rsid w:val="00A46622"/>
    <w:rsid w:val="00A90B93"/>
    <w:rsid w:val="00AD3EE8"/>
    <w:rsid w:val="00B0005A"/>
    <w:rsid w:val="00B0242E"/>
    <w:rsid w:val="00B27351"/>
    <w:rsid w:val="00BE48D6"/>
    <w:rsid w:val="00C25F96"/>
    <w:rsid w:val="00C57C86"/>
    <w:rsid w:val="00C77690"/>
    <w:rsid w:val="00C9356E"/>
    <w:rsid w:val="00CA565C"/>
    <w:rsid w:val="00CC2DD3"/>
    <w:rsid w:val="00D24614"/>
    <w:rsid w:val="00D72C20"/>
    <w:rsid w:val="00D96BA8"/>
    <w:rsid w:val="00D974A3"/>
    <w:rsid w:val="00DA2C1E"/>
    <w:rsid w:val="00E40F84"/>
    <w:rsid w:val="00E77C7D"/>
    <w:rsid w:val="00EA03CC"/>
    <w:rsid w:val="00EA096C"/>
    <w:rsid w:val="00EB7F1A"/>
    <w:rsid w:val="00F22694"/>
    <w:rsid w:val="00F45466"/>
    <w:rsid w:val="00F50C6B"/>
    <w:rsid w:val="00F928B2"/>
    <w:rsid w:val="00F93EE6"/>
    <w:rsid w:val="00FC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714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42"/>
    <w:pPr>
      <w:ind w:left="720"/>
      <w:contextualSpacing/>
    </w:pPr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semiHidden/>
    <w:rPr>
      <w:sz w:val="24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C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2018-03-08T21:41:00Z</dcterms:created>
  <dcterms:modified xsi:type="dcterms:W3CDTF">2018-03-08T21:41:00Z</dcterms:modified>
</cp:coreProperties>
</file>