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70C7" w14:textId="5FF6407B" w:rsidR="007A60E7" w:rsidRPr="00291E68" w:rsidRDefault="00291E68" w:rsidP="007A60E7">
      <w:pPr>
        <w:pStyle w:val="Title"/>
        <w:ind w:right="-720"/>
        <w:rPr>
          <w:rFonts w:ascii="Arial" w:hAnsi="Arial" w:cs="Arial"/>
          <w:szCs w:val="24"/>
        </w:rPr>
      </w:pPr>
      <w:r w:rsidRPr="00291E68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urrently</w:t>
      </w:r>
      <w:r w:rsidRPr="00291E68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cceptable</w:t>
      </w:r>
      <w:r w:rsidRPr="00291E68">
        <w:rPr>
          <w:rFonts w:ascii="Arial" w:hAnsi="Arial" w:cs="Arial"/>
          <w:szCs w:val="24"/>
        </w:rPr>
        <w:t xml:space="preserve"> M</w:t>
      </w:r>
      <w:r>
        <w:rPr>
          <w:rFonts w:ascii="Arial" w:hAnsi="Arial" w:cs="Arial"/>
          <w:szCs w:val="24"/>
        </w:rPr>
        <w:t>ultifamily</w:t>
      </w:r>
      <w:r w:rsidRPr="00291E68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oan</w:t>
      </w:r>
      <w:r w:rsidRPr="00291E68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>ocuments</w:t>
      </w:r>
    </w:p>
    <w:p w14:paraId="15EC6234" w14:textId="369A2410" w:rsidR="007A60E7" w:rsidRPr="00291E68" w:rsidRDefault="00291E68" w:rsidP="007A60E7">
      <w:pPr>
        <w:pStyle w:val="Title"/>
        <w:ind w:right="-720"/>
        <w:rPr>
          <w:rFonts w:ascii="Arial" w:hAnsi="Arial" w:cs="Arial"/>
          <w:szCs w:val="24"/>
        </w:rPr>
      </w:pPr>
      <w:r w:rsidRPr="00291E68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argeted</w:t>
      </w:r>
      <w:r w:rsidRPr="00291E68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ffordable</w:t>
      </w:r>
      <w:r w:rsidRPr="00291E68">
        <w:rPr>
          <w:rFonts w:ascii="Arial" w:hAnsi="Arial" w:cs="Arial"/>
          <w:szCs w:val="24"/>
        </w:rPr>
        <w:t xml:space="preserve"> H</w:t>
      </w:r>
      <w:r>
        <w:rPr>
          <w:rFonts w:ascii="Arial" w:hAnsi="Arial" w:cs="Arial"/>
          <w:szCs w:val="24"/>
        </w:rPr>
        <w:t>ousing</w:t>
      </w:r>
    </w:p>
    <w:p w14:paraId="58137EB6" w14:textId="7FE08325" w:rsidR="007A60E7" w:rsidRPr="005E2A45" w:rsidRDefault="007A60E7" w:rsidP="007A60E7">
      <w:pPr>
        <w:pStyle w:val="Title"/>
        <w:ind w:right="-720"/>
        <w:rPr>
          <w:rFonts w:ascii="Arial" w:hAnsi="Arial" w:cs="Arial"/>
          <w:b w:val="0"/>
          <w:bCs w:val="0"/>
          <w:sz w:val="20"/>
        </w:rPr>
      </w:pPr>
      <w:r w:rsidRPr="005E2A45">
        <w:rPr>
          <w:rFonts w:ascii="Arial" w:hAnsi="Arial" w:cs="Arial"/>
          <w:b w:val="0"/>
          <w:bCs w:val="0"/>
          <w:sz w:val="20"/>
        </w:rPr>
        <w:t>(Revised</w:t>
      </w:r>
      <w:r w:rsidR="002D5A21" w:rsidRPr="005E2A45">
        <w:rPr>
          <w:rFonts w:ascii="Arial" w:hAnsi="Arial" w:cs="Arial"/>
          <w:b w:val="0"/>
          <w:bCs w:val="0"/>
          <w:sz w:val="20"/>
        </w:rPr>
        <w:t xml:space="preserve"> </w:t>
      </w:r>
      <w:r w:rsidR="005938E4">
        <w:rPr>
          <w:rFonts w:ascii="Arial" w:hAnsi="Arial" w:cs="Arial"/>
          <w:b w:val="0"/>
          <w:bCs w:val="0"/>
          <w:sz w:val="20"/>
        </w:rPr>
        <w:t>5-</w:t>
      </w:r>
      <w:r w:rsidR="0016476B">
        <w:rPr>
          <w:rFonts w:ascii="Arial" w:hAnsi="Arial" w:cs="Arial"/>
          <w:b w:val="0"/>
          <w:bCs w:val="0"/>
          <w:sz w:val="20"/>
        </w:rPr>
        <w:t>6</w:t>
      </w:r>
      <w:r w:rsidR="005938E4">
        <w:rPr>
          <w:rFonts w:ascii="Arial" w:hAnsi="Arial" w:cs="Arial"/>
          <w:b w:val="0"/>
          <w:bCs w:val="0"/>
          <w:sz w:val="20"/>
        </w:rPr>
        <w:t>-</w:t>
      </w:r>
      <w:r w:rsidR="00291E68">
        <w:rPr>
          <w:rFonts w:ascii="Arial" w:hAnsi="Arial" w:cs="Arial"/>
          <w:b w:val="0"/>
          <w:bCs w:val="0"/>
          <w:sz w:val="20"/>
        </w:rPr>
        <w:t>202</w:t>
      </w:r>
      <w:r w:rsidR="005C67D7">
        <w:rPr>
          <w:rFonts w:ascii="Arial" w:hAnsi="Arial" w:cs="Arial"/>
          <w:b w:val="0"/>
          <w:bCs w:val="0"/>
          <w:sz w:val="20"/>
        </w:rPr>
        <w:t>4</w:t>
      </w:r>
      <w:r w:rsidRPr="005E2A45">
        <w:rPr>
          <w:rFonts w:ascii="Arial" w:hAnsi="Arial" w:cs="Arial"/>
          <w:b w:val="0"/>
          <w:bCs w:val="0"/>
          <w:sz w:val="20"/>
        </w:rPr>
        <w:t>)</w:t>
      </w:r>
    </w:p>
    <w:p w14:paraId="7EF0F8AF" w14:textId="77777777" w:rsidR="007A60E7" w:rsidRPr="00E32101" w:rsidRDefault="007A60E7" w:rsidP="007A60E7">
      <w:pPr>
        <w:pStyle w:val="Title"/>
        <w:ind w:right="-720"/>
        <w:jc w:val="left"/>
        <w:rPr>
          <w:sz w:val="22"/>
          <w:szCs w:val="22"/>
        </w:rPr>
      </w:pPr>
    </w:p>
    <w:p w14:paraId="7D815957" w14:textId="1388280A" w:rsidR="007A60E7" w:rsidRPr="005E2A45" w:rsidRDefault="007A60E7" w:rsidP="007A60E7">
      <w:pPr>
        <w:pStyle w:val="Title"/>
        <w:ind w:right="-720"/>
        <w:jc w:val="left"/>
        <w:rPr>
          <w:rFonts w:ascii="Arial" w:hAnsi="Arial" w:cs="Arial"/>
          <w:sz w:val="22"/>
          <w:szCs w:val="22"/>
        </w:rPr>
      </w:pPr>
      <w:r w:rsidRPr="005E2A45">
        <w:rPr>
          <w:rFonts w:ascii="Arial" w:hAnsi="Arial" w:cs="Arial"/>
          <w:sz w:val="22"/>
          <w:szCs w:val="22"/>
        </w:rPr>
        <w:t xml:space="preserve">Following is a list of the most current versions of the Multifamily Loan Documents available on this website for Freddie Mac’s </w:t>
      </w:r>
      <w:r w:rsidR="00CD6E81" w:rsidRPr="005E2A45">
        <w:rPr>
          <w:rFonts w:ascii="Arial" w:hAnsi="Arial" w:cs="Arial"/>
          <w:sz w:val="22"/>
          <w:szCs w:val="22"/>
        </w:rPr>
        <w:t>targeted affordable housing program</w:t>
      </w:r>
      <w:r w:rsidRPr="005E2A45">
        <w:rPr>
          <w:rFonts w:ascii="Arial" w:hAnsi="Arial" w:cs="Arial"/>
          <w:sz w:val="22"/>
          <w:szCs w:val="22"/>
        </w:rPr>
        <w:t>.  The version of each document is identified by its revision date, which is the date shown in parenthesis forming part of the title of the document.</w:t>
      </w:r>
    </w:p>
    <w:p w14:paraId="664D63E7" w14:textId="77777777" w:rsidR="007A60E7" w:rsidRPr="00E32101" w:rsidRDefault="007A60E7" w:rsidP="007A60E7">
      <w:pPr>
        <w:pStyle w:val="Title"/>
        <w:ind w:right="-720"/>
        <w:jc w:val="left"/>
        <w:rPr>
          <w:sz w:val="22"/>
          <w:szCs w:val="22"/>
        </w:rPr>
      </w:pPr>
      <w:r w:rsidRPr="00E32101">
        <w:rPr>
          <w:sz w:val="22"/>
          <w:szCs w:val="22"/>
        </w:rPr>
        <w:t xml:space="preserve"> </w:t>
      </w:r>
    </w:p>
    <w:p w14:paraId="41FE7427" w14:textId="77777777" w:rsidR="00523A8E" w:rsidRPr="005E2A45" w:rsidRDefault="00C65597" w:rsidP="00523A8E">
      <w:pPr>
        <w:pStyle w:val="Title"/>
        <w:ind w:right="-720"/>
        <w:jc w:val="left"/>
        <w:rPr>
          <w:rFonts w:ascii="Arial" w:hAnsi="Arial" w:cs="Arial"/>
          <w:sz w:val="22"/>
          <w:szCs w:val="22"/>
          <w:u w:val="single"/>
        </w:rPr>
      </w:pPr>
      <w:r w:rsidRPr="005E2A45">
        <w:rPr>
          <w:rFonts w:ascii="Arial" w:hAnsi="Arial" w:cs="Arial"/>
          <w:sz w:val="22"/>
          <w:szCs w:val="22"/>
          <w:u w:val="single"/>
        </w:rPr>
        <w:t xml:space="preserve">TAX-EXEMPT </w:t>
      </w:r>
      <w:r w:rsidR="00523A8E" w:rsidRPr="005E2A45">
        <w:rPr>
          <w:rFonts w:ascii="Arial" w:hAnsi="Arial" w:cs="Arial"/>
          <w:sz w:val="22"/>
          <w:szCs w:val="22"/>
          <w:u w:val="single"/>
        </w:rPr>
        <w:t>BOND ENHANCEMENT</w:t>
      </w:r>
    </w:p>
    <w:p w14:paraId="59BAD0D6" w14:textId="77777777" w:rsidR="00523A8E" w:rsidRPr="005E2A45" w:rsidRDefault="00523A8E" w:rsidP="007A60E7">
      <w:pPr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14:paraId="37579D54" w14:textId="2BB4EE9B" w:rsidR="00EF49B3" w:rsidRPr="00EF49B3" w:rsidRDefault="00EF49B3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E65D56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Tax Exempt Bond Enhancement forms, please contact your Freddie Mac Attorney.</w:t>
      </w:r>
    </w:p>
    <w:p w14:paraId="451A48EF" w14:textId="77777777" w:rsidR="00523A8E" w:rsidRDefault="00523A8E" w:rsidP="007A60E7">
      <w:pPr>
        <w:spacing w:after="0" w:line="240" w:lineRule="auto"/>
        <w:rPr>
          <w:rFonts w:ascii="Arial" w:eastAsia="Times New Roman" w:hAnsi="Arial" w:cs="Arial"/>
          <w:lang w:val="en"/>
        </w:rPr>
      </w:pPr>
    </w:p>
    <w:p w14:paraId="2285C6B2" w14:textId="77777777" w:rsidR="00E65D56" w:rsidRPr="005E2A45" w:rsidRDefault="00E65D56" w:rsidP="007A60E7">
      <w:pPr>
        <w:spacing w:after="0" w:line="240" w:lineRule="auto"/>
        <w:rPr>
          <w:rFonts w:ascii="Arial" w:eastAsia="Times New Roman" w:hAnsi="Arial" w:cs="Arial"/>
          <w:lang w:val="en"/>
        </w:rPr>
      </w:pPr>
    </w:p>
    <w:p w14:paraId="1C6CCAB9" w14:textId="77777777" w:rsidR="00523A8E" w:rsidRPr="005E2A45" w:rsidRDefault="00C65597" w:rsidP="007A60E7">
      <w:pPr>
        <w:spacing w:after="0" w:line="240" w:lineRule="auto"/>
        <w:rPr>
          <w:rFonts w:ascii="Arial" w:eastAsia="Times New Roman" w:hAnsi="Arial" w:cs="Arial"/>
          <w:b/>
          <w:u w:val="single"/>
          <w:lang w:val="en"/>
        </w:rPr>
      </w:pPr>
      <w:r w:rsidRPr="005E2A45">
        <w:rPr>
          <w:rFonts w:ascii="Arial" w:eastAsia="Times New Roman" w:hAnsi="Arial" w:cs="Arial"/>
          <w:b/>
          <w:u w:val="single"/>
          <w:lang w:val="en"/>
        </w:rPr>
        <w:t>PRESERVATION REHAB</w:t>
      </w:r>
    </w:p>
    <w:p w14:paraId="14A9E324" w14:textId="77777777" w:rsidR="00523A8E" w:rsidRPr="005E2A45" w:rsidRDefault="00523A8E" w:rsidP="007A60E7">
      <w:pPr>
        <w:spacing w:after="0" w:line="240" w:lineRule="auto"/>
        <w:rPr>
          <w:rFonts w:ascii="Arial" w:eastAsia="Times New Roman" w:hAnsi="Arial" w:cs="Arial"/>
          <w:lang w:val="en"/>
        </w:rPr>
      </w:pPr>
    </w:p>
    <w:p w14:paraId="25AB1122" w14:textId="44378EE4" w:rsidR="00C53E53" w:rsidRPr="005E2A45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Assignment of Equity Interests, Pledge and Security Agreement (</w:t>
      </w:r>
      <w:r w:rsidR="006C4FC1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</w:t>
      </w:r>
      <w:r w:rsidR="006C4FC1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-2023</w:t>
      </w:r>
      <w:r w:rsidRPr="005E2A45">
        <w:rPr>
          <w:rFonts w:ascii="Arial" w:eastAsia="Times New Roman" w:hAnsi="Arial" w:cs="Arial"/>
          <w:lang w:val="en"/>
        </w:rPr>
        <w:t>)</w:t>
      </w:r>
    </w:p>
    <w:p w14:paraId="58EB01A4" w14:textId="02E1AD42" w:rsidR="008917DD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Consent of Equity Investor (</w:t>
      </w:r>
      <w:r w:rsidR="006C4FC1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</w:t>
      </w:r>
      <w:r w:rsidR="006C4FC1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-2023</w:t>
      </w:r>
      <w:r w:rsidRPr="005E2A45">
        <w:rPr>
          <w:rFonts w:ascii="Arial" w:eastAsia="Times New Roman" w:hAnsi="Arial" w:cs="Arial"/>
          <w:lang w:val="en"/>
        </w:rPr>
        <w:t>)</w:t>
      </w:r>
    </w:p>
    <w:p w14:paraId="67A4E234" w14:textId="408B35EF" w:rsidR="008917DD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Equity Bridge Loan Debt – Rider to Loan Agreement (</w:t>
      </w:r>
      <w:r w:rsidR="002A4216">
        <w:rPr>
          <w:rFonts w:ascii="Arial" w:eastAsia="Times New Roman" w:hAnsi="Arial" w:cs="Arial"/>
          <w:lang w:val="en"/>
        </w:rPr>
        <w:t>3</w:t>
      </w:r>
      <w:r w:rsidR="00291E68">
        <w:rPr>
          <w:rFonts w:ascii="Arial" w:eastAsia="Times New Roman" w:hAnsi="Arial" w:cs="Arial"/>
          <w:lang w:val="en"/>
        </w:rPr>
        <w:t>-</w:t>
      </w:r>
      <w:r w:rsidR="002A4216">
        <w:rPr>
          <w:rFonts w:ascii="Arial" w:eastAsia="Times New Roman" w:hAnsi="Arial" w:cs="Arial"/>
          <w:lang w:val="en"/>
        </w:rPr>
        <w:t>26</w:t>
      </w:r>
      <w:r w:rsidR="00291E68">
        <w:rPr>
          <w:rFonts w:ascii="Arial" w:eastAsia="Times New Roman" w:hAnsi="Arial" w:cs="Arial"/>
          <w:lang w:val="en"/>
        </w:rPr>
        <w:t>-202</w:t>
      </w:r>
      <w:r w:rsidR="002A4216">
        <w:rPr>
          <w:rFonts w:ascii="Arial" w:eastAsia="Times New Roman" w:hAnsi="Arial" w:cs="Arial"/>
          <w:lang w:val="en"/>
        </w:rPr>
        <w:t>4</w:t>
      </w:r>
      <w:r w:rsidRPr="005E2A45">
        <w:rPr>
          <w:rFonts w:ascii="Arial" w:eastAsia="Times New Roman" w:hAnsi="Arial" w:cs="Arial"/>
          <w:lang w:val="en"/>
        </w:rPr>
        <w:t>)</w:t>
      </w:r>
    </w:p>
    <w:p w14:paraId="53B58F3F" w14:textId="7DF76761" w:rsidR="008917DD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Financing Statement – Exhibit A – Equity Interests (</w:t>
      </w:r>
      <w:r w:rsidR="00291E68">
        <w:rPr>
          <w:rFonts w:ascii="Arial" w:eastAsia="Times New Roman" w:hAnsi="Arial" w:cs="Arial"/>
          <w:lang w:val="en"/>
        </w:rPr>
        <w:t>6-14-2023</w:t>
      </w:r>
      <w:r w:rsidRPr="005E2A45">
        <w:rPr>
          <w:rFonts w:ascii="Arial" w:eastAsia="Times New Roman" w:hAnsi="Arial" w:cs="Arial"/>
          <w:lang w:val="en"/>
        </w:rPr>
        <w:t>)</w:t>
      </w:r>
    </w:p>
    <w:p w14:paraId="721138B9" w14:textId="2CDA621F" w:rsidR="008917DD" w:rsidRPr="005E2A45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Financing Statement – Exhibit B – TAH Properties Preservation Rehab</w:t>
      </w:r>
      <w:r w:rsidR="003C165A" w:rsidRPr="005E2A45">
        <w:rPr>
          <w:rFonts w:ascii="Arial" w:eastAsia="Times New Roman" w:hAnsi="Arial" w:cs="Arial"/>
          <w:lang w:val="en"/>
        </w:rPr>
        <w:t xml:space="preserve"> (10-4-2022)</w:t>
      </w:r>
    </w:p>
    <w:p w14:paraId="4658B7EB" w14:textId="6AD8935A" w:rsidR="008917DD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Guaranty of Completion – Preservation Rehab</w:t>
      </w:r>
      <w:r w:rsidR="003C165A" w:rsidRPr="005E2A45">
        <w:rPr>
          <w:rFonts w:ascii="Arial" w:eastAsia="Times New Roman" w:hAnsi="Arial" w:cs="Arial"/>
          <w:lang w:val="en"/>
        </w:rPr>
        <w:t xml:space="preserve"> (</w:t>
      </w:r>
      <w:r w:rsidR="008B73AE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</w:t>
      </w:r>
      <w:r w:rsidR="00113191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-2023</w:t>
      </w:r>
      <w:r w:rsidR="003C165A" w:rsidRPr="005E2A45">
        <w:rPr>
          <w:rFonts w:ascii="Arial" w:eastAsia="Times New Roman" w:hAnsi="Arial" w:cs="Arial"/>
          <w:lang w:val="en"/>
        </w:rPr>
        <w:t>)</w:t>
      </w:r>
    </w:p>
    <w:p w14:paraId="02FB1211" w14:textId="2EE78B60" w:rsidR="008917DD" w:rsidRPr="005E2A45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Guaranty</w:t>
      </w:r>
      <w:r w:rsidR="00426E20" w:rsidRPr="005E2A45">
        <w:rPr>
          <w:rFonts w:ascii="Arial" w:eastAsia="Times New Roman" w:hAnsi="Arial" w:cs="Arial"/>
          <w:lang w:val="en"/>
        </w:rPr>
        <w:t xml:space="preserve"> </w:t>
      </w:r>
      <w:r w:rsidR="006B0321">
        <w:rPr>
          <w:rFonts w:ascii="Arial" w:eastAsia="Times New Roman" w:hAnsi="Arial" w:cs="Arial"/>
          <w:lang w:val="en"/>
        </w:rPr>
        <w:t>of</w:t>
      </w:r>
      <w:r w:rsidR="00426E20" w:rsidRPr="005E2A45">
        <w:rPr>
          <w:rFonts w:ascii="Arial" w:eastAsia="Times New Roman" w:hAnsi="Arial" w:cs="Arial"/>
          <w:lang w:val="en"/>
        </w:rPr>
        <w:t xml:space="preserve"> Operating Deficit</w:t>
      </w:r>
      <w:r w:rsidR="006B0321">
        <w:rPr>
          <w:rFonts w:ascii="Arial" w:eastAsia="Times New Roman" w:hAnsi="Arial" w:cs="Arial"/>
          <w:lang w:val="en"/>
        </w:rPr>
        <w:t>s</w:t>
      </w:r>
      <w:r w:rsidR="003C165A" w:rsidRPr="005E2A45">
        <w:rPr>
          <w:rFonts w:ascii="Arial" w:eastAsia="Times New Roman" w:hAnsi="Arial" w:cs="Arial"/>
          <w:lang w:val="en"/>
        </w:rPr>
        <w:t xml:space="preserve"> (</w:t>
      </w:r>
      <w:r w:rsidR="008B73AE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</w:t>
      </w:r>
      <w:r w:rsidR="008B73AE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-2023</w:t>
      </w:r>
      <w:r w:rsidR="003C165A" w:rsidRPr="005E2A45">
        <w:rPr>
          <w:rFonts w:ascii="Arial" w:eastAsia="Times New Roman" w:hAnsi="Arial" w:cs="Arial"/>
          <w:lang w:val="en"/>
        </w:rPr>
        <w:t>)</w:t>
      </w:r>
    </w:p>
    <w:p w14:paraId="3A718D93" w14:textId="3694594F" w:rsidR="008917DD" w:rsidRDefault="008917DD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Pledge of Equity Investor Capital Contributions – Rider to Loan Agreement</w:t>
      </w:r>
      <w:r w:rsidR="003C165A" w:rsidRPr="005E2A45">
        <w:rPr>
          <w:rFonts w:ascii="Arial" w:eastAsia="Times New Roman" w:hAnsi="Arial" w:cs="Arial"/>
          <w:lang w:val="en"/>
        </w:rPr>
        <w:t xml:space="preserve"> (</w:t>
      </w:r>
      <w:r w:rsidR="00F51516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</w:t>
      </w:r>
      <w:r w:rsidR="00F51516">
        <w:rPr>
          <w:rFonts w:ascii="Arial" w:eastAsia="Times New Roman" w:hAnsi="Arial" w:cs="Arial"/>
          <w:lang w:val="en"/>
        </w:rPr>
        <w:t>10</w:t>
      </w:r>
      <w:r w:rsidR="00291E68">
        <w:rPr>
          <w:rFonts w:ascii="Arial" w:eastAsia="Times New Roman" w:hAnsi="Arial" w:cs="Arial"/>
          <w:lang w:val="en"/>
        </w:rPr>
        <w:t>-2023</w:t>
      </w:r>
      <w:r w:rsidR="003C165A" w:rsidRPr="005E2A45">
        <w:rPr>
          <w:rFonts w:ascii="Arial" w:eastAsia="Times New Roman" w:hAnsi="Arial" w:cs="Arial"/>
          <w:lang w:val="en"/>
        </w:rPr>
        <w:t>)</w:t>
      </w:r>
    </w:p>
    <w:p w14:paraId="19EA7A00" w14:textId="2FE7B40D" w:rsidR="008917DD" w:rsidRDefault="003C165A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Repair Reserve Fund Rider to Loan Agreement – TAH (</w:t>
      </w:r>
      <w:r w:rsidR="008B73AE">
        <w:rPr>
          <w:rFonts w:ascii="Arial" w:eastAsia="Times New Roman" w:hAnsi="Arial" w:cs="Arial"/>
          <w:lang w:val="en"/>
        </w:rPr>
        <w:t>10</w:t>
      </w:r>
      <w:r w:rsidR="003D3062" w:rsidRPr="005E2A45">
        <w:rPr>
          <w:rFonts w:ascii="Arial" w:eastAsia="Times New Roman" w:hAnsi="Arial" w:cs="Arial"/>
          <w:lang w:val="en"/>
        </w:rPr>
        <w:t>-</w:t>
      </w:r>
      <w:r w:rsidR="008B73AE">
        <w:rPr>
          <w:rFonts w:ascii="Arial" w:eastAsia="Times New Roman" w:hAnsi="Arial" w:cs="Arial"/>
          <w:lang w:val="en"/>
        </w:rPr>
        <w:t>10</w:t>
      </w:r>
      <w:r w:rsidR="003D3062" w:rsidRPr="005E2A45">
        <w:rPr>
          <w:rFonts w:ascii="Arial" w:eastAsia="Times New Roman" w:hAnsi="Arial" w:cs="Arial"/>
          <w:lang w:val="en"/>
        </w:rPr>
        <w:t>-2023</w:t>
      </w:r>
      <w:r w:rsidRPr="005E2A45">
        <w:rPr>
          <w:rFonts w:ascii="Arial" w:eastAsia="Times New Roman" w:hAnsi="Arial" w:cs="Arial"/>
          <w:lang w:val="en"/>
        </w:rPr>
        <w:t>)</w:t>
      </w:r>
    </w:p>
    <w:p w14:paraId="16BC2AF6" w14:textId="76E44A5D" w:rsidR="003C165A" w:rsidRDefault="003C165A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5E2A45">
        <w:rPr>
          <w:rFonts w:ascii="Arial" w:eastAsia="Times New Roman" w:hAnsi="Arial" w:cs="Arial"/>
          <w:lang w:val="en"/>
        </w:rPr>
        <w:t>Subordination Agreement – Equity Bridge Loan Private Entity (</w:t>
      </w:r>
      <w:r w:rsidR="00F51F0E">
        <w:rPr>
          <w:rFonts w:ascii="Arial" w:eastAsia="Times New Roman" w:hAnsi="Arial" w:cs="Arial"/>
          <w:lang w:val="en"/>
        </w:rPr>
        <w:t>3</w:t>
      </w:r>
      <w:r w:rsidR="00482DE2">
        <w:rPr>
          <w:rFonts w:ascii="Arial" w:eastAsia="Times New Roman" w:hAnsi="Arial" w:cs="Arial"/>
          <w:lang w:val="en"/>
        </w:rPr>
        <w:t>-</w:t>
      </w:r>
      <w:r w:rsidR="00F51F0E">
        <w:rPr>
          <w:rFonts w:ascii="Arial" w:eastAsia="Times New Roman" w:hAnsi="Arial" w:cs="Arial"/>
          <w:lang w:val="en"/>
        </w:rPr>
        <w:t>26</w:t>
      </w:r>
      <w:r w:rsidR="00482DE2">
        <w:rPr>
          <w:rFonts w:ascii="Arial" w:eastAsia="Times New Roman" w:hAnsi="Arial" w:cs="Arial"/>
          <w:lang w:val="en"/>
        </w:rPr>
        <w:t>-202</w:t>
      </w:r>
      <w:r w:rsidR="00F51F0E">
        <w:rPr>
          <w:rFonts w:ascii="Arial" w:eastAsia="Times New Roman" w:hAnsi="Arial" w:cs="Arial"/>
          <w:lang w:val="en"/>
        </w:rPr>
        <w:t>4</w:t>
      </w:r>
      <w:r w:rsidRPr="005E2A45">
        <w:rPr>
          <w:rFonts w:ascii="Arial" w:eastAsia="Times New Roman" w:hAnsi="Arial" w:cs="Arial"/>
          <w:lang w:val="en"/>
        </w:rPr>
        <w:t>)</w:t>
      </w:r>
    </w:p>
    <w:p w14:paraId="14D24D64" w14:textId="66F323BF" w:rsidR="00482DE2" w:rsidRPr="005E2A45" w:rsidRDefault="00482DE2" w:rsidP="007A60E7">
      <w:pPr>
        <w:spacing w:after="0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ab/>
      </w:r>
    </w:p>
    <w:p w14:paraId="09A95162" w14:textId="1FEA5E4F" w:rsidR="00543F86" w:rsidRPr="005E2A45" w:rsidRDefault="00543F86" w:rsidP="007A60E7">
      <w:pPr>
        <w:spacing w:after="0" w:line="240" w:lineRule="auto"/>
        <w:rPr>
          <w:rFonts w:ascii="Arial" w:eastAsia="Times New Roman" w:hAnsi="Arial" w:cs="Arial"/>
          <w:lang w:val="en"/>
        </w:rPr>
      </w:pPr>
    </w:p>
    <w:p w14:paraId="09F854DD" w14:textId="77777777" w:rsidR="00543F86" w:rsidRPr="005E2A45" w:rsidRDefault="00543F86" w:rsidP="00543F86">
      <w:pPr>
        <w:pStyle w:val="Title"/>
        <w:keepNext/>
        <w:keepLines/>
        <w:ind w:right="-720"/>
        <w:jc w:val="left"/>
        <w:rPr>
          <w:rFonts w:ascii="Arial" w:hAnsi="Arial" w:cs="Arial"/>
          <w:b w:val="0"/>
          <w:color w:val="FF0000"/>
          <w:sz w:val="22"/>
          <w:szCs w:val="22"/>
        </w:rPr>
      </w:pPr>
      <w:bookmarkStart w:id="0" w:name="_Hlk41030245"/>
      <w:bookmarkStart w:id="1" w:name="_Hlk42494336"/>
      <w:r w:rsidRPr="005E2A45">
        <w:rPr>
          <w:rFonts w:ascii="Arial" w:hAnsi="Arial" w:cs="Arial"/>
          <w:b w:val="0"/>
          <w:color w:val="FF0000"/>
          <w:sz w:val="22"/>
          <w:szCs w:val="22"/>
          <w:u w:val="single"/>
        </w:rPr>
        <w:t>Endnote 1</w:t>
      </w:r>
      <w:r w:rsidRPr="005E2A45">
        <w:rPr>
          <w:rFonts w:ascii="Arial" w:hAnsi="Arial" w:cs="Arial"/>
          <w:b w:val="0"/>
          <w:color w:val="FF0000"/>
          <w:sz w:val="22"/>
          <w:szCs w:val="22"/>
        </w:rPr>
        <w:t xml:space="preserve">: </w:t>
      </w:r>
    </w:p>
    <w:p w14:paraId="5D1D9FB6" w14:textId="77777777" w:rsidR="002D5A21" w:rsidRPr="005E2A45" w:rsidRDefault="002D5A21" w:rsidP="002D5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1FAA564E" w14:textId="693CD0A8" w:rsidR="00543F86" w:rsidRPr="005E2A45" w:rsidRDefault="00543F86" w:rsidP="002D5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5E2A45">
        <w:rPr>
          <w:rFonts w:ascii="Arial" w:hAnsi="Arial" w:cs="Arial"/>
          <w:color w:val="FF0000"/>
        </w:rPr>
        <w:t>Pursuant to the Freddie Mac Multifamily Seller/Servicer Guide, Section 5.2(f):</w:t>
      </w:r>
    </w:p>
    <w:p w14:paraId="64BDB00C" w14:textId="5DD4A63F" w:rsidR="00543F86" w:rsidRPr="005E2A45" w:rsidRDefault="00543F86" w:rsidP="00543F86">
      <w:pPr>
        <w:pStyle w:val="Title"/>
        <w:ind w:left="720" w:right="-720"/>
        <w:jc w:val="left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5E2A45">
        <w:rPr>
          <w:rFonts w:ascii="Arial" w:hAnsi="Arial" w:cs="Arial"/>
          <w:b w:val="0"/>
          <w:color w:val="FF0000"/>
          <w:sz w:val="22"/>
          <w:szCs w:val="22"/>
        </w:rPr>
        <w:t>The Seller or its legal counsel (as applicable) has used a form and version of each Loan Document that appears in the Currently Acceptable Multifamily Loan Documents – T</w:t>
      </w:r>
      <w:r w:rsidR="00482DE2">
        <w:rPr>
          <w:rFonts w:ascii="Arial" w:hAnsi="Arial" w:cs="Arial"/>
          <w:b w:val="0"/>
          <w:color w:val="FF0000"/>
          <w:sz w:val="22"/>
          <w:szCs w:val="22"/>
        </w:rPr>
        <w:t>AH</w:t>
      </w:r>
      <w:r w:rsidRPr="005E2A45">
        <w:rPr>
          <w:rFonts w:ascii="Arial" w:hAnsi="Arial" w:cs="Arial"/>
          <w:b w:val="0"/>
          <w:color w:val="FF0000"/>
          <w:sz w:val="22"/>
          <w:szCs w:val="22"/>
        </w:rPr>
        <w:t xml:space="preserve"> list available on FreddieMac.com during the period between the date of the Letter of Commitment or the date the early rate-lock application was submitted to Freddie Mac and the Origination Date, unless otherwise</w:t>
      </w:r>
      <w:r w:rsidR="00B608C9">
        <w:rPr>
          <w:rFonts w:ascii="Arial" w:hAnsi="Arial" w:cs="Arial"/>
          <w:b w:val="0"/>
          <w:color w:val="FF0000"/>
          <w:sz w:val="22"/>
          <w:szCs w:val="22"/>
        </w:rPr>
        <w:t xml:space="preserve"> expressly permitted by the Purchase and/or Servicing Documents or as expressly a</w:t>
      </w:r>
      <w:r w:rsidRPr="005E2A45">
        <w:rPr>
          <w:rFonts w:ascii="Arial" w:hAnsi="Arial" w:cs="Arial"/>
          <w:b w:val="0"/>
          <w:color w:val="FF0000"/>
          <w:sz w:val="22"/>
          <w:szCs w:val="22"/>
        </w:rPr>
        <w:t>pproved in writing by Freddie Mac</w:t>
      </w:r>
      <w:bookmarkEnd w:id="0"/>
      <w:r w:rsidRPr="005E2A45">
        <w:rPr>
          <w:rFonts w:ascii="Arial" w:hAnsi="Arial" w:cs="Arial"/>
          <w:b w:val="0"/>
          <w:color w:val="FF0000"/>
          <w:sz w:val="22"/>
          <w:szCs w:val="22"/>
        </w:rPr>
        <w:t>.</w:t>
      </w:r>
      <w:bookmarkEnd w:id="1"/>
    </w:p>
    <w:p w14:paraId="7D30B69E" w14:textId="77777777" w:rsidR="00543F86" w:rsidRPr="005E2A45" w:rsidRDefault="00543F86" w:rsidP="007A60E7">
      <w:pPr>
        <w:spacing w:after="0" w:line="240" w:lineRule="auto"/>
        <w:rPr>
          <w:rFonts w:ascii="Arial" w:eastAsia="Times New Roman" w:hAnsi="Arial" w:cs="Arial"/>
          <w:lang w:val="en"/>
        </w:rPr>
      </w:pPr>
    </w:p>
    <w:sectPr w:rsidR="00543F86" w:rsidRPr="005E2A45" w:rsidSect="0087722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16C0" w14:textId="77777777" w:rsidR="00877224" w:rsidRDefault="00877224" w:rsidP="00C10605">
      <w:pPr>
        <w:spacing w:after="0" w:line="240" w:lineRule="auto"/>
      </w:pPr>
      <w:r>
        <w:separator/>
      </w:r>
    </w:p>
  </w:endnote>
  <w:endnote w:type="continuationSeparator" w:id="0">
    <w:p w14:paraId="320150E2" w14:textId="77777777" w:rsidR="00877224" w:rsidRDefault="00877224" w:rsidP="00C1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5D86" w14:textId="591037A4" w:rsidR="00CD6E81" w:rsidRPr="005E2A45" w:rsidRDefault="00CD6E81" w:rsidP="005E2A45">
    <w:pPr>
      <w:pStyle w:val="Footer"/>
      <w:tabs>
        <w:tab w:val="clear" w:pos="9360"/>
        <w:tab w:val="right" w:pos="12690"/>
      </w:tabs>
      <w:ind w:left="-720" w:right="252"/>
      <w:rPr>
        <w:rFonts w:ascii="Arial" w:hAnsi="Arial" w:cs="Arial"/>
        <w:bCs/>
        <w:sz w:val="20"/>
        <w:szCs w:val="20"/>
      </w:rPr>
    </w:pPr>
    <w:r w:rsidRPr="005E2A45">
      <w:rPr>
        <w:rStyle w:val="PageNumber"/>
        <w:rFonts w:ascii="Arial" w:hAnsi="Arial" w:cs="Arial"/>
        <w:bCs/>
        <w:sz w:val="20"/>
        <w:szCs w:val="20"/>
      </w:rPr>
      <w:t>Currently Acceptable Multifamily Loan Documents - TAH</w:t>
    </w:r>
    <w:r w:rsidRPr="005E2A45">
      <w:rPr>
        <w:rStyle w:val="PageNumber"/>
        <w:rFonts w:ascii="Arial" w:hAnsi="Arial" w:cs="Arial"/>
        <w:bCs/>
        <w:sz w:val="20"/>
        <w:szCs w:val="20"/>
      </w:rPr>
      <w:tab/>
    </w:r>
    <w:r>
      <w:rPr>
        <w:rStyle w:val="PageNumber"/>
        <w:b/>
        <w:sz w:val="20"/>
        <w:szCs w:val="20"/>
      </w:rPr>
      <w:tab/>
    </w:r>
    <w:r w:rsidRPr="005E2A45">
      <w:rPr>
        <w:rStyle w:val="PageNumber"/>
        <w:rFonts w:ascii="Arial" w:hAnsi="Arial" w:cs="Arial"/>
        <w:bCs/>
        <w:sz w:val="20"/>
        <w:szCs w:val="20"/>
      </w:rPr>
      <w:t xml:space="preserve">Page </w:t>
    </w:r>
    <w:r w:rsidRPr="005E2A45">
      <w:rPr>
        <w:rStyle w:val="PageNumber"/>
        <w:rFonts w:ascii="Arial" w:hAnsi="Arial" w:cs="Arial"/>
        <w:bCs/>
        <w:sz w:val="20"/>
        <w:szCs w:val="20"/>
      </w:rPr>
      <w:fldChar w:fldCharType="begin"/>
    </w:r>
    <w:r w:rsidRPr="005E2A45">
      <w:rPr>
        <w:rStyle w:val="PageNumber"/>
        <w:rFonts w:ascii="Arial" w:hAnsi="Arial" w:cs="Arial"/>
        <w:bCs/>
        <w:sz w:val="20"/>
        <w:szCs w:val="20"/>
      </w:rPr>
      <w:instrText xml:space="preserve">PAGE  </w:instrText>
    </w:r>
    <w:r w:rsidRPr="005E2A45">
      <w:rPr>
        <w:rStyle w:val="PageNumber"/>
        <w:rFonts w:ascii="Arial" w:hAnsi="Arial" w:cs="Arial"/>
        <w:bCs/>
        <w:sz w:val="20"/>
        <w:szCs w:val="20"/>
      </w:rPr>
      <w:fldChar w:fldCharType="separate"/>
    </w:r>
    <w:r w:rsidR="00D44825" w:rsidRPr="005E2A45">
      <w:rPr>
        <w:rStyle w:val="PageNumber"/>
        <w:rFonts w:ascii="Arial" w:hAnsi="Arial" w:cs="Arial"/>
        <w:bCs/>
        <w:noProof/>
        <w:sz w:val="20"/>
        <w:szCs w:val="20"/>
      </w:rPr>
      <w:t>1</w:t>
    </w:r>
    <w:r w:rsidRPr="005E2A45">
      <w:rPr>
        <w:rStyle w:val="PageNumber"/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D3AB" w14:textId="77777777" w:rsidR="00877224" w:rsidRDefault="00877224" w:rsidP="00C10605">
      <w:pPr>
        <w:spacing w:after="0" w:line="240" w:lineRule="auto"/>
      </w:pPr>
      <w:r>
        <w:separator/>
      </w:r>
    </w:p>
  </w:footnote>
  <w:footnote w:type="continuationSeparator" w:id="0">
    <w:p w14:paraId="291B9CA3" w14:textId="77777777" w:rsidR="00877224" w:rsidRDefault="00877224" w:rsidP="00C1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4B2E"/>
    <w:multiLevelType w:val="multilevel"/>
    <w:tmpl w:val="B8D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93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E7"/>
    <w:rsid w:val="00013843"/>
    <w:rsid w:val="000544D7"/>
    <w:rsid w:val="00087F88"/>
    <w:rsid w:val="000C4275"/>
    <w:rsid w:val="000E6E10"/>
    <w:rsid w:val="00105FEA"/>
    <w:rsid w:val="00113191"/>
    <w:rsid w:val="0016476B"/>
    <w:rsid w:val="00173C34"/>
    <w:rsid w:val="001C02DF"/>
    <w:rsid w:val="001E34A5"/>
    <w:rsid w:val="00200DC7"/>
    <w:rsid w:val="00233970"/>
    <w:rsid w:val="00255BBD"/>
    <w:rsid w:val="0026097E"/>
    <w:rsid w:val="00291E68"/>
    <w:rsid w:val="002966CB"/>
    <w:rsid w:val="002A4216"/>
    <w:rsid w:val="002D5A21"/>
    <w:rsid w:val="002D7A9A"/>
    <w:rsid w:val="003427DE"/>
    <w:rsid w:val="00371683"/>
    <w:rsid w:val="0037502C"/>
    <w:rsid w:val="003901EE"/>
    <w:rsid w:val="003B37F7"/>
    <w:rsid w:val="003C165A"/>
    <w:rsid w:val="003C75EC"/>
    <w:rsid w:val="003D3062"/>
    <w:rsid w:val="00401BF5"/>
    <w:rsid w:val="0041654A"/>
    <w:rsid w:val="00426E20"/>
    <w:rsid w:val="00430228"/>
    <w:rsid w:val="00442706"/>
    <w:rsid w:val="00470963"/>
    <w:rsid w:val="00482DE2"/>
    <w:rsid w:val="004A0A4A"/>
    <w:rsid w:val="004C3AEB"/>
    <w:rsid w:val="004E3E3A"/>
    <w:rsid w:val="00502C49"/>
    <w:rsid w:val="0050515B"/>
    <w:rsid w:val="005157D6"/>
    <w:rsid w:val="00523A8E"/>
    <w:rsid w:val="00525CF6"/>
    <w:rsid w:val="00543F86"/>
    <w:rsid w:val="005938E4"/>
    <w:rsid w:val="0059638D"/>
    <w:rsid w:val="005C67D7"/>
    <w:rsid w:val="005E2A45"/>
    <w:rsid w:val="0064180B"/>
    <w:rsid w:val="006644F2"/>
    <w:rsid w:val="006B0321"/>
    <w:rsid w:val="006C4FC1"/>
    <w:rsid w:val="006D2F53"/>
    <w:rsid w:val="00743C46"/>
    <w:rsid w:val="007764A4"/>
    <w:rsid w:val="00792FFF"/>
    <w:rsid w:val="007A60E7"/>
    <w:rsid w:val="007C083F"/>
    <w:rsid w:val="00821878"/>
    <w:rsid w:val="00877224"/>
    <w:rsid w:val="00882363"/>
    <w:rsid w:val="00883867"/>
    <w:rsid w:val="008917DD"/>
    <w:rsid w:val="008B214D"/>
    <w:rsid w:val="008B4E74"/>
    <w:rsid w:val="008B73AE"/>
    <w:rsid w:val="008E5A98"/>
    <w:rsid w:val="00911161"/>
    <w:rsid w:val="009244D9"/>
    <w:rsid w:val="00944345"/>
    <w:rsid w:val="00957D73"/>
    <w:rsid w:val="009A5E5C"/>
    <w:rsid w:val="00A329AF"/>
    <w:rsid w:val="00A46409"/>
    <w:rsid w:val="00A84662"/>
    <w:rsid w:val="00B02C44"/>
    <w:rsid w:val="00B608C9"/>
    <w:rsid w:val="00B83C5A"/>
    <w:rsid w:val="00BC0CD5"/>
    <w:rsid w:val="00C10605"/>
    <w:rsid w:val="00C377B8"/>
    <w:rsid w:val="00C53E53"/>
    <w:rsid w:val="00C65597"/>
    <w:rsid w:val="00C823DD"/>
    <w:rsid w:val="00C87C1F"/>
    <w:rsid w:val="00CA4E29"/>
    <w:rsid w:val="00CC2E00"/>
    <w:rsid w:val="00CD6E81"/>
    <w:rsid w:val="00D44825"/>
    <w:rsid w:val="00DD1194"/>
    <w:rsid w:val="00DE00A2"/>
    <w:rsid w:val="00DF7315"/>
    <w:rsid w:val="00E32101"/>
    <w:rsid w:val="00E65D56"/>
    <w:rsid w:val="00E82F22"/>
    <w:rsid w:val="00EA27B7"/>
    <w:rsid w:val="00EF49B3"/>
    <w:rsid w:val="00F363C0"/>
    <w:rsid w:val="00F51516"/>
    <w:rsid w:val="00F51F0E"/>
    <w:rsid w:val="00FA4BA7"/>
    <w:rsid w:val="00FB0309"/>
    <w:rsid w:val="00FB33C0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4D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A60E7"/>
    <w:rPr>
      <w:color w:val="0000FF"/>
      <w:u w:val="single"/>
    </w:rPr>
  </w:style>
  <w:style w:type="character" w:customStyle="1" w:styleId="filesize">
    <w:name w:val="filesize"/>
    <w:basedOn w:val="DefaultParagraphFont"/>
    <w:rsid w:val="007A60E7"/>
  </w:style>
  <w:style w:type="paragraph" w:styleId="Title">
    <w:name w:val="Title"/>
    <w:basedOn w:val="Normal"/>
    <w:link w:val="TitleChar"/>
    <w:uiPriority w:val="10"/>
    <w:qFormat/>
    <w:rsid w:val="007A60E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link w:val="Title"/>
    <w:uiPriority w:val="10"/>
    <w:rsid w:val="007A60E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06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060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C106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0605"/>
    <w:rPr>
      <w:sz w:val="22"/>
      <w:szCs w:val="22"/>
    </w:rPr>
  </w:style>
  <w:style w:type="character" w:styleId="PageNumber">
    <w:name w:val="page number"/>
    <w:basedOn w:val="DefaultParagraphFont"/>
    <w:semiHidden/>
    <w:rsid w:val="00C10605"/>
  </w:style>
  <w:style w:type="paragraph" w:styleId="Revision">
    <w:name w:val="Revision"/>
    <w:hidden/>
    <w:uiPriority w:val="99"/>
    <w:semiHidden/>
    <w:rsid w:val="008917DD"/>
    <w:rPr>
      <w:sz w:val="22"/>
      <w:szCs w:val="22"/>
    </w:rPr>
  </w:style>
  <w:style w:type="character" w:customStyle="1" w:styleId="DeltaViewInsertion">
    <w:name w:val="DeltaView Insertion"/>
    <w:rsid w:val="00543F86"/>
    <w:rPr>
      <w:color w:val="0000FF"/>
      <w:spacing w:val="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F5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5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1568</Characters>
  <Application>Microsoft Office Word</Application>
  <DocSecurity>0</DocSecurity>
  <Lines>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426" baseType="variant">
      <vt:variant>
        <vt:i4>3604559</vt:i4>
      </vt:variant>
      <vt:variant>
        <vt:i4>210</vt:i4>
      </vt:variant>
      <vt:variant>
        <vt:i4>0</vt:i4>
      </vt:variant>
      <vt:variant>
        <vt:i4>5</vt:i4>
      </vt:variant>
      <vt:variant>
        <vt:lpwstr>http://www.freddiemac.com/multifamily/docs/tax_credit_rider_for_bond_enhancement.doc</vt:lpwstr>
      </vt:variant>
      <vt:variant>
        <vt:lpwstr/>
      </vt:variant>
      <vt:variant>
        <vt:i4>524355</vt:i4>
      </vt:variant>
      <vt:variant>
        <vt:i4>207</vt:i4>
      </vt:variant>
      <vt:variant>
        <vt:i4>0</vt:i4>
      </vt:variant>
      <vt:variant>
        <vt:i4>5</vt:i4>
      </vt:variant>
      <vt:variant>
        <vt:lpwstr>http://www.freddiemac.com/multifamily/docs/bond-cali-guaranty.doc</vt:lpwstr>
      </vt:variant>
      <vt:variant>
        <vt:lpwstr/>
      </vt:variant>
      <vt:variant>
        <vt:i4>3997804</vt:i4>
      </vt:variant>
      <vt:variant>
        <vt:i4>204</vt:i4>
      </vt:variant>
      <vt:variant>
        <vt:i4>0</vt:i4>
      </vt:variant>
      <vt:variant>
        <vt:i4>5</vt:i4>
      </vt:variant>
      <vt:variant>
        <vt:lpwstr>http://www.freddiemac.com/multifamily/docs/Multistate Guaranty For Bond Enhancement.doc</vt:lpwstr>
      </vt:variant>
      <vt:variant>
        <vt:lpwstr/>
      </vt:variant>
      <vt:variant>
        <vt:i4>1638518</vt:i4>
      </vt:variant>
      <vt:variant>
        <vt:i4>201</vt:i4>
      </vt:variant>
      <vt:variant>
        <vt:i4>0</vt:i4>
      </vt:variant>
      <vt:variant>
        <vt:i4>5</vt:i4>
      </vt:variant>
      <vt:variant>
        <vt:lpwstr>http://www.freddiemac.com/multifamily/docs/rental_achievement_agreement_letter_of_credit.doc</vt:lpwstr>
      </vt:variant>
      <vt:variant>
        <vt:lpwstr/>
      </vt:variant>
      <vt:variant>
        <vt:i4>3211390</vt:i4>
      </vt:variant>
      <vt:variant>
        <vt:i4>198</vt:i4>
      </vt:variant>
      <vt:variant>
        <vt:i4>0</vt:i4>
      </vt:variant>
      <vt:variant>
        <vt:i4>5</vt:i4>
      </vt:variant>
      <vt:variant>
        <vt:lpwstr>http://www.freddiemac.com/multifamily/docs/rental_achievement_escrow_agreement_cash.doc</vt:lpwstr>
      </vt:variant>
      <vt:variant>
        <vt:lpwstr/>
      </vt:variant>
      <vt:variant>
        <vt:i4>720966</vt:i4>
      </vt:variant>
      <vt:variant>
        <vt:i4>195</vt:i4>
      </vt:variant>
      <vt:variant>
        <vt:i4>0</vt:i4>
      </vt:variant>
      <vt:variant>
        <vt:i4>5</vt:i4>
      </vt:variant>
      <vt:variant>
        <vt:lpwstr>http://www.freddiemac.com/multifamily/docs/Rehabilitation Escrow Agreement Form.FREDDIE MAC FORM.NO HOLDBACK.NOV 2009.doc</vt:lpwstr>
      </vt:variant>
      <vt:variant>
        <vt:lpwstr/>
      </vt:variant>
      <vt:variant>
        <vt:i4>131185</vt:i4>
      </vt:variant>
      <vt:variant>
        <vt:i4>192</vt:i4>
      </vt:variant>
      <vt:variant>
        <vt:i4>0</vt:i4>
      </vt:variant>
      <vt:variant>
        <vt:i4>5</vt:i4>
      </vt:variant>
      <vt:variant>
        <vt:lpwstr>http://www.freddiemac.com/multifamily/docs/rehabilitation_escrow_agreement_holdback.doc</vt:lpwstr>
      </vt:variant>
      <vt:variant>
        <vt:lpwstr/>
      </vt:variant>
      <vt:variant>
        <vt:i4>8323195</vt:i4>
      </vt:variant>
      <vt:variant>
        <vt:i4>189</vt:i4>
      </vt:variant>
      <vt:variant>
        <vt:i4>0</vt:i4>
      </vt:variant>
      <vt:variant>
        <vt:i4>5</vt:i4>
      </vt:variant>
      <vt:variant>
        <vt:lpwstr>http://www.freddiemac.com/multifamily/docs/Operating Deficit Guaranty.FRE CALIFORNIA FORM.NOV 2009.doc</vt:lpwstr>
      </vt:variant>
      <vt:variant>
        <vt:lpwstr/>
      </vt:variant>
      <vt:variant>
        <vt:i4>3473512</vt:i4>
      </vt:variant>
      <vt:variant>
        <vt:i4>186</vt:i4>
      </vt:variant>
      <vt:variant>
        <vt:i4>0</vt:i4>
      </vt:variant>
      <vt:variant>
        <vt:i4>5</vt:i4>
      </vt:variant>
      <vt:variant>
        <vt:lpwstr>http://www.freddiemac.com/multifamily/docs/Operating Deficit Guaranty.FRE FORM.NOV 2009.doc</vt:lpwstr>
      </vt:variant>
      <vt:variant>
        <vt:lpwstr/>
      </vt:variant>
      <vt:variant>
        <vt:i4>5898329</vt:i4>
      </vt:variant>
      <vt:variant>
        <vt:i4>183</vt:i4>
      </vt:variant>
      <vt:variant>
        <vt:i4>0</vt:i4>
      </vt:variant>
      <vt:variant>
        <vt:i4>5</vt:i4>
      </vt:variant>
      <vt:variant>
        <vt:lpwstr>http://www.freddiemac.com/multifamily/docs/Completion Guaranty.FRE CALIFORNIA FORM.NOV 2009..DOC</vt:lpwstr>
      </vt:variant>
      <vt:variant>
        <vt:lpwstr/>
      </vt:variant>
      <vt:variant>
        <vt:i4>4325461</vt:i4>
      </vt:variant>
      <vt:variant>
        <vt:i4>180</vt:i4>
      </vt:variant>
      <vt:variant>
        <vt:i4>0</vt:i4>
      </vt:variant>
      <vt:variant>
        <vt:i4>5</vt:i4>
      </vt:variant>
      <vt:variant>
        <vt:lpwstr>http://www.freddiemac.com/multifamily/docs/Completion Guaranty.FRE FORM.NOV 2009.DOC</vt:lpwstr>
      </vt:variant>
      <vt:variant>
        <vt:lpwstr/>
      </vt:variant>
      <vt:variant>
        <vt:i4>589855</vt:i4>
      </vt:variant>
      <vt:variant>
        <vt:i4>177</vt:i4>
      </vt:variant>
      <vt:variant>
        <vt:i4>0</vt:i4>
      </vt:variant>
      <vt:variant>
        <vt:i4>5</vt:i4>
      </vt:variant>
      <vt:variant>
        <vt:lpwstr>http://www.freddiemac.com/multifamily/docs/bond-finance-ex-b.doc</vt:lpwstr>
      </vt:variant>
      <vt:variant>
        <vt:lpwstr/>
      </vt:variant>
      <vt:variant>
        <vt:i4>1310723</vt:i4>
      </vt:variant>
      <vt:variant>
        <vt:i4>174</vt:i4>
      </vt:variant>
      <vt:variant>
        <vt:i4>0</vt:i4>
      </vt:variant>
      <vt:variant>
        <vt:i4>5</vt:i4>
      </vt:variant>
      <vt:variant>
        <vt:lpwstr>http://www.freddiemac.com/multifamily/docs/bond-replacemt.doc</vt:lpwstr>
      </vt:variant>
      <vt:variant>
        <vt:lpwstr/>
      </vt:variant>
      <vt:variant>
        <vt:i4>786497</vt:i4>
      </vt:variant>
      <vt:variant>
        <vt:i4>171</vt:i4>
      </vt:variant>
      <vt:variant>
        <vt:i4>0</vt:i4>
      </vt:variant>
      <vt:variant>
        <vt:i4>5</vt:i4>
      </vt:variant>
      <vt:variant>
        <vt:lpwstr>http://www.freddiemac.com/multifamily/docs/bond-repair-escrow.doc</vt:lpwstr>
      </vt:variant>
      <vt:variant>
        <vt:lpwstr/>
      </vt:variant>
      <vt:variant>
        <vt:i4>2162813</vt:i4>
      </vt:variant>
      <vt:variant>
        <vt:i4>168</vt:i4>
      </vt:variant>
      <vt:variant>
        <vt:i4>0</vt:i4>
      </vt:variant>
      <vt:variant>
        <vt:i4>5</vt:i4>
      </vt:variant>
      <vt:variant>
        <vt:lpwstr>http://www.freddiemac.com/multifamily/docs/bond-repair-agreemt.doc</vt:lpwstr>
      </vt:variant>
      <vt:variant>
        <vt:lpwstr/>
      </vt:variant>
      <vt:variant>
        <vt:i4>8126507</vt:i4>
      </vt:variant>
      <vt:variant>
        <vt:i4>165</vt:i4>
      </vt:variant>
      <vt:variant>
        <vt:i4>0</vt:i4>
      </vt:variant>
      <vt:variant>
        <vt:i4>5</vt:i4>
      </vt:variant>
      <vt:variant>
        <vt:lpwstr>http://www.freddiemac.com/multifamily/docs/bond-WY-security.doc</vt:lpwstr>
      </vt:variant>
      <vt:variant>
        <vt:lpwstr/>
      </vt:variant>
      <vt:variant>
        <vt:i4>7077931</vt:i4>
      </vt:variant>
      <vt:variant>
        <vt:i4>162</vt:i4>
      </vt:variant>
      <vt:variant>
        <vt:i4>0</vt:i4>
      </vt:variant>
      <vt:variant>
        <vt:i4>5</vt:i4>
      </vt:variant>
      <vt:variant>
        <vt:lpwstr>http://www.freddiemac.com/multifamily/docs/bond-WI-security.doc</vt:lpwstr>
      </vt:variant>
      <vt:variant>
        <vt:lpwstr/>
      </vt:variant>
      <vt:variant>
        <vt:i4>7536683</vt:i4>
      </vt:variant>
      <vt:variant>
        <vt:i4>159</vt:i4>
      </vt:variant>
      <vt:variant>
        <vt:i4>0</vt:i4>
      </vt:variant>
      <vt:variant>
        <vt:i4>5</vt:i4>
      </vt:variant>
      <vt:variant>
        <vt:lpwstr>http://www.freddiemac.com/multifamily/docs/bond-WV-security.doc</vt:lpwstr>
      </vt:variant>
      <vt:variant>
        <vt:lpwstr/>
      </vt:variant>
      <vt:variant>
        <vt:i4>6553643</vt:i4>
      </vt:variant>
      <vt:variant>
        <vt:i4>156</vt:i4>
      </vt:variant>
      <vt:variant>
        <vt:i4>0</vt:i4>
      </vt:variant>
      <vt:variant>
        <vt:i4>5</vt:i4>
      </vt:variant>
      <vt:variant>
        <vt:lpwstr>http://www.freddiemac.com/multifamily/docs/bond-WA-security.doc</vt:lpwstr>
      </vt:variant>
      <vt:variant>
        <vt:lpwstr/>
      </vt:variant>
      <vt:variant>
        <vt:i4>6553642</vt:i4>
      </vt:variant>
      <vt:variant>
        <vt:i4>153</vt:i4>
      </vt:variant>
      <vt:variant>
        <vt:i4>0</vt:i4>
      </vt:variant>
      <vt:variant>
        <vt:i4>5</vt:i4>
      </vt:variant>
      <vt:variant>
        <vt:lpwstr>http://www.freddiemac.com/multifamily/docs/bond-VA-security.doc</vt:lpwstr>
      </vt:variant>
      <vt:variant>
        <vt:lpwstr/>
      </vt:variant>
      <vt:variant>
        <vt:i4>7405610</vt:i4>
      </vt:variant>
      <vt:variant>
        <vt:i4>150</vt:i4>
      </vt:variant>
      <vt:variant>
        <vt:i4>0</vt:i4>
      </vt:variant>
      <vt:variant>
        <vt:i4>5</vt:i4>
      </vt:variant>
      <vt:variant>
        <vt:lpwstr>http://www.freddiemac.com/multifamily/docs/bond-VT-security.doc</vt:lpwstr>
      </vt:variant>
      <vt:variant>
        <vt:lpwstr/>
      </vt:variant>
      <vt:variant>
        <vt:i4>7405609</vt:i4>
      </vt:variant>
      <vt:variant>
        <vt:i4>147</vt:i4>
      </vt:variant>
      <vt:variant>
        <vt:i4>0</vt:i4>
      </vt:variant>
      <vt:variant>
        <vt:i4>5</vt:i4>
      </vt:variant>
      <vt:variant>
        <vt:lpwstr>http://www.freddiemac.com/multifamily/docs/bond-UT-security.doc</vt:lpwstr>
      </vt:variant>
      <vt:variant>
        <vt:lpwstr/>
      </vt:variant>
      <vt:variant>
        <vt:i4>8192040</vt:i4>
      </vt:variant>
      <vt:variant>
        <vt:i4>144</vt:i4>
      </vt:variant>
      <vt:variant>
        <vt:i4>0</vt:i4>
      </vt:variant>
      <vt:variant>
        <vt:i4>5</vt:i4>
      </vt:variant>
      <vt:variant>
        <vt:lpwstr>http://www.freddiemac.com/multifamily/docs/bond-TX-security.doc</vt:lpwstr>
      </vt:variant>
      <vt:variant>
        <vt:lpwstr/>
      </vt:variant>
      <vt:variant>
        <vt:i4>7012392</vt:i4>
      </vt:variant>
      <vt:variant>
        <vt:i4>141</vt:i4>
      </vt:variant>
      <vt:variant>
        <vt:i4>0</vt:i4>
      </vt:variant>
      <vt:variant>
        <vt:i4>5</vt:i4>
      </vt:variant>
      <vt:variant>
        <vt:lpwstr>http://www.freddiemac.com/multifamily/docs/bond-TN-security.doc</vt:lpwstr>
      </vt:variant>
      <vt:variant>
        <vt:lpwstr/>
      </vt:variant>
      <vt:variant>
        <vt:i4>6357039</vt:i4>
      </vt:variant>
      <vt:variant>
        <vt:i4>138</vt:i4>
      </vt:variant>
      <vt:variant>
        <vt:i4>0</vt:i4>
      </vt:variant>
      <vt:variant>
        <vt:i4>5</vt:i4>
      </vt:variant>
      <vt:variant>
        <vt:lpwstr>http://www.freddiemac.com/multifamily/docs/bond-SD-security.doc</vt:lpwstr>
      </vt:variant>
      <vt:variant>
        <vt:lpwstr/>
      </vt:variant>
      <vt:variant>
        <vt:i4>6684719</vt:i4>
      </vt:variant>
      <vt:variant>
        <vt:i4>135</vt:i4>
      </vt:variant>
      <vt:variant>
        <vt:i4>0</vt:i4>
      </vt:variant>
      <vt:variant>
        <vt:i4>5</vt:i4>
      </vt:variant>
      <vt:variant>
        <vt:lpwstr>http://www.freddiemac.com/multifamily/docs/bond-SC-security.doc</vt:lpwstr>
      </vt:variant>
      <vt:variant>
        <vt:lpwstr/>
      </vt:variant>
      <vt:variant>
        <vt:i4>7077934</vt:i4>
      </vt:variant>
      <vt:variant>
        <vt:i4>132</vt:i4>
      </vt:variant>
      <vt:variant>
        <vt:i4>0</vt:i4>
      </vt:variant>
      <vt:variant>
        <vt:i4>5</vt:i4>
      </vt:variant>
      <vt:variant>
        <vt:lpwstr>http://www.freddiemac.com/multifamily/docs/bond-RI-security.doc</vt:lpwstr>
      </vt:variant>
      <vt:variant>
        <vt:lpwstr/>
      </vt:variant>
      <vt:variant>
        <vt:i4>6553644</vt:i4>
      </vt:variant>
      <vt:variant>
        <vt:i4>129</vt:i4>
      </vt:variant>
      <vt:variant>
        <vt:i4>0</vt:i4>
      </vt:variant>
      <vt:variant>
        <vt:i4>5</vt:i4>
      </vt:variant>
      <vt:variant>
        <vt:lpwstr>http://www.freddiemac.com/multifamily/docs/bond-PA-security.doc</vt:lpwstr>
      </vt:variant>
      <vt:variant>
        <vt:lpwstr/>
      </vt:variant>
      <vt:variant>
        <vt:i4>7798835</vt:i4>
      </vt:variant>
      <vt:variant>
        <vt:i4>126</vt:i4>
      </vt:variant>
      <vt:variant>
        <vt:i4>0</vt:i4>
      </vt:variant>
      <vt:variant>
        <vt:i4>5</vt:i4>
      </vt:variant>
      <vt:variant>
        <vt:lpwstr>http://www.freddiemac.com/multifamily/docs/bond-OR-security.doc</vt:lpwstr>
      </vt:variant>
      <vt:variant>
        <vt:lpwstr/>
      </vt:variant>
      <vt:variant>
        <vt:i4>7209011</vt:i4>
      </vt:variant>
      <vt:variant>
        <vt:i4>123</vt:i4>
      </vt:variant>
      <vt:variant>
        <vt:i4>0</vt:i4>
      </vt:variant>
      <vt:variant>
        <vt:i4>5</vt:i4>
      </vt:variant>
      <vt:variant>
        <vt:lpwstr>http://www.freddiemac.com/multifamily/docs/bond-OK-security.doc</vt:lpwstr>
      </vt:variant>
      <vt:variant>
        <vt:lpwstr/>
      </vt:variant>
      <vt:variant>
        <vt:i4>7143475</vt:i4>
      </vt:variant>
      <vt:variant>
        <vt:i4>120</vt:i4>
      </vt:variant>
      <vt:variant>
        <vt:i4>0</vt:i4>
      </vt:variant>
      <vt:variant>
        <vt:i4>5</vt:i4>
      </vt:variant>
      <vt:variant>
        <vt:lpwstr>http://www.freddiemac.com/multifamily/docs/bond-OH-security.doc</vt:lpwstr>
      </vt:variant>
      <vt:variant>
        <vt:lpwstr/>
      </vt:variant>
      <vt:variant>
        <vt:i4>6357042</vt:i4>
      </vt:variant>
      <vt:variant>
        <vt:i4>117</vt:i4>
      </vt:variant>
      <vt:variant>
        <vt:i4>0</vt:i4>
      </vt:variant>
      <vt:variant>
        <vt:i4>5</vt:i4>
      </vt:variant>
      <vt:variant>
        <vt:lpwstr>http://www.freddiemac.com/multifamily/docs/bond-ND-security.doc</vt:lpwstr>
      </vt:variant>
      <vt:variant>
        <vt:lpwstr/>
      </vt:variant>
      <vt:variant>
        <vt:i4>6684722</vt:i4>
      </vt:variant>
      <vt:variant>
        <vt:i4>114</vt:i4>
      </vt:variant>
      <vt:variant>
        <vt:i4>0</vt:i4>
      </vt:variant>
      <vt:variant>
        <vt:i4>5</vt:i4>
      </vt:variant>
      <vt:variant>
        <vt:lpwstr>http://www.freddiemac.com/multifamily/docs/bond-NC-security.doc</vt:lpwstr>
      </vt:variant>
      <vt:variant>
        <vt:lpwstr/>
      </vt:variant>
      <vt:variant>
        <vt:i4>8126514</vt:i4>
      </vt:variant>
      <vt:variant>
        <vt:i4>111</vt:i4>
      </vt:variant>
      <vt:variant>
        <vt:i4>0</vt:i4>
      </vt:variant>
      <vt:variant>
        <vt:i4>5</vt:i4>
      </vt:variant>
      <vt:variant>
        <vt:lpwstr>http://www.freddiemac.com/multifamily/docs/bond-NY-security.doc</vt:lpwstr>
      </vt:variant>
      <vt:variant>
        <vt:lpwstr/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>http://www.freddiemac.com/multifamily/docs/bond-NM-security.doc</vt:lpwstr>
      </vt:variant>
      <vt:variant>
        <vt:lpwstr/>
      </vt:variant>
      <vt:variant>
        <vt:i4>7274546</vt:i4>
      </vt:variant>
      <vt:variant>
        <vt:i4>105</vt:i4>
      </vt:variant>
      <vt:variant>
        <vt:i4>0</vt:i4>
      </vt:variant>
      <vt:variant>
        <vt:i4>5</vt:i4>
      </vt:variant>
      <vt:variant>
        <vt:lpwstr>http://www.freddiemac.com/multifamily/docs/bond-NJ-security.doc</vt:lpwstr>
      </vt:variant>
      <vt:variant>
        <vt:lpwstr/>
      </vt:variant>
      <vt:variant>
        <vt:i4>7143474</vt:i4>
      </vt:variant>
      <vt:variant>
        <vt:i4>102</vt:i4>
      </vt:variant>
      <vt:variant>
        <vt:i4>0</vt:i4>
      </vt:variant>
      <vt:variant>
        <vt:i4>5</vt:i4>
      </vt:variant>
      <vt:variant>
        <vt:lpwstr>http://www.freddiemac.com/multifamily/docs/bond-NH-security.doc</vt:lpwstr>
      </vt:variant>
      <vt:variant>
        <vt:lpwstr/>
      </vt:variant>
      <vt:variant>
        <vt:i4>7536690</vt:i4>
      </vt:variant>
      <vt:variant>
        <vt:i4>99</vt:i4>
      </vt:variant>
      <vt:variant>
        <vt:i4>0</vt:i4>
      </vt:variant>
      <vt:variant>
        <vt:i4>5</vt:i4>
      </vt:variant>
      <vt:variant>
        <vt:lpwstr>http://www.freddiemac.com/multifamily/docs/bond-NV-security.doc</vt:lpwstr>
      </vt:variant>
      <vt:variant>
        <vt:lpwstr/>
      </vt:variant>
      <vt:variant>
        <vt:i4>6291506</vt:i4>
      </vt:variant>
      <vt:variant>
        <vt:i4>96</vt:i4>
      </vt:variant>
      <vt:variant>
        <vt:i4>0</vt:i4>
      </vt:variant>
      <vt:variant>
        <vt:i4>5</vt:i4>
      </vt:variant>
      <vt:variant>
        <vt:lpwstr>http://www.freddiemac.com/multifamily/docs/bond-NE-security.doc</vt:lpwstr>
      </vt:variant>
      <vt:variant>
        <vt:lpwstr/>
      </vt:variant>
      <vt:variant>
        <vt:i4>7405617</vt:i4>
      </vt:variant>
      <vt:variant>
        <vt:i4>93</vt:i4>
      </vt:variant>
      <vt:variant>
        <vt:i4>0</vt:i4>
      </vt:variant>
      <vt:variant>
        <vt:i4>5</vt:i4>
      </vt:variant>
      <vt:variant>
        <vt:lpwstr>http://www.freddiemac.com/multifamily/docs/bond-MT-security.doc</vt:lpwstr>
      </vt:variant>
      <vt:variant>
        <vt:lpwstr/>
      </vt:variant>
      <vt:variant>
        <vt:i4>6946865</vt:i4>
      </vt:variant>
      <vt:variant>
        <vt:i4>90</vt:i4>
      </vt:variant>
      <vt:variant>
        <vt:i4>0</vt:i4>
      </vt:variant>
      <vt:variant>
        <vt:i4>5</vt:i4>
      </vt:variant>
      <vt:variant>
        <vt:lpwstr>http://www.freddiemac.com/multifamily/docs/bond-MO-security.doc</vt:lpwstr>
      </vt:variant>
      <vt:variant>
        <vt:lpwstr/>
      </vt:variant>
      <vt:variant>
        <vt:i4>7733297</vt:i4>
      </vt:variant>
      <vt:variant>
        <vt:i4>87</vt:i4>
      </vt:variant>
      <vt:variant>
        <vt:i4>0</vt:i4>
      </vt:variant>
      <vt:variant>
        <vt:i4>5</vt:i4>
      </vt:variant>
      <vt:variant>
        <vt:lpwstr>http://www.freddiemac.com/multifamily/docs/bond-MS-security.doc</vt:lpwstr>
      </vt:variant>
      <vt:variant>
        <vt:lpwstr/>
      </vt:variant>
      <vt:variant>
        <vt:i4>7012401</vt:i4>
      </vt:variant>
      <vt:variant>
        <vt:i4>84</vt:i4>
      </vt:variant>
      <vt:variant>
        <vt:i4>0</vt:i4>
      </vt:variant>
      <vt:variant>
        <vt:i4>5</vt:i4>
      </vt:variant>
      <vt:variant>
        <vt:lpwstr>http://www.freddiemac.com/multifamily/docs/bond-MN-security.doc</vt:lpwstr>
      </vt:variant>
      <vt:variant>
        <vt:lpwstr/>
      </vt:variant>
      <vt:variant>
        <vt:i4>7077937</vt:i4>
      </vt:variant>
      <vt:variant>
        <vt:i4>81</vt:i4>
      </vt:variant>
      <vt:variant>
        <vt:i4>0</vt:i4>
      </vt:variant>
      <vt:variant>
        <vt:i4>5</vt:i4>
      </vt:variant>
      <vt:variant>
        <vt:lpwstr>http://www.freddiemac.com/multifamily/docs/bond-MI-security.doc</vt:lpwstr>
      </vt:variant>
      <vt:variant>
        <vt:lpwstr/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>http://www.freddiemac.com/multifamily/docs/bond-MA-security.doc</vt:lpwstr>
      </vt:variant>
      <vt:variant>
        <vt:lpwstr/>
      </vt:variant>
      <vt:variant>
        <vt:i4>6357041</vt:i4>
      </vt:variant>
      <vt:variant>
        <vt:i4>75</vt:i4>
      </vt:variant>
      <vt:variant>
        <vt:i4>0</vt:i4>
      </vt:variant>
      <vt:variant>
        <vt:i4>5</vt:i4>
      </vt:variant>
      <vt:variant>
        <vt:lpwstr>http://www.freddiemac.com/multifamily/docs/bond-MD-security.doc</vt:lpwstr>
      </vt:variant>
      <vt:variant>
        <vt:lpwstr/>
      </vt:variant>
      <vt:variant>
        <vt:i4>6291505</vt:i4>
      </vt:variant>
      <vt:variant>
        <vt:i4>72</vt:i4>
      </vt:variant>
      <vt:variant>
        <vt:i4>0</vt:i4>
      </vt:variant>
      <vt:variant>
        <vt:i4>5</vt:i4>
      </vt:variant>
      <vt:variant>
        <vt:lpwstr>http://www.freddiemac.com/multifamily/docs/bond-ME-security.doc</vt:lpwstr>
      </vt:variant>
      <vt:variant>
        <vt:lpwstr/>
      </vt:variant>
      <vt:variant>
        <vt:i4>6553648</vt:i4>
      </vt:variant>
      <vt:variant>
        <vt:i4>69</vt:i4>
      </vt:variant>
      <vt:variant>
        <vt:i4>0</vt:i4>
      </vt:variant>
      <vt:variant>
        <vt:i4>5</vt:i4>
      </vt:variant>
      <vt:variant>
        <vt:lpwstr>http://www.freddiemac.com/multifamily/docs/bond-LA-security.doc</vt:lpwstr>
      </vt:variant>
      <vt:variant>
        <vt:lpwstr/>
      </vt:variant>
      <vt:variant>
        <vt:i4>8126519</vt:i4>
      </vt:variant>
      <vt:variant>
        <vt:i4>66</vt:i4>
      </vt:variant>
      <vt:variant>
        <vt:i4>0</vt:i4>
      </vt:variant>
      <vt:variant>
        <vt:i4>5</vt:i4>
      </vt:variant>
      <vt:variant>
        <vt:lpwstr>http://www.freddiemac.com/multifamily/docs/bond-KY-security.doc</vt:lpwstr>
      </vt:variant>
      <vt:variant>
        <vt:lpwstr/>
      </vt:variant>
      <vt:variant>
        <vt:i4>7733303</vt:i4>
      </vt:variant>
      <vt:variant>
        <vt:i4>63</vt:i4>
      </vt:variant>
      <vt:variant>
        <vt:i4>0</vt:i4>
      </vt:variant>
      <vt:variant>
        <vt:i4>5</vt:i4>
      </vt:variant>
      <vt:variant>
        <vt:lpwstr>http://www.freddiemac.com/multifamily/docs/bond-KS-security.doc</vt:lpwstr>
      </vt:variant>
      <vt:variant>
        <vt:lpwstr/>
      </vt:variant>
      <vt:variant>
        <vt:i4>6553653</vt:i4>
      </vt:variant>
      <vt:variant>
        <vt:i4>60</vt:i4>
      </vt:variant>
      <vt:variant>
        <vt:i4>0</vt:i4>
      </vt:variant>
      <vt:variant>
        <vt:i4>5</vt:i4>
      </vt:variant>
      <vt:variant>
        <vt:lpwstr>http://www.freddiemac.com/multifamily/docs/bond-IA-security.doc</vt:lpwstr>
      </vt:variant>
      <vt:variant>
        <vt:lpwstr/>
      </vt:variant>
      <vt:variant>
        <vt:i4>7012405</vt:i4>
      </vt:variant>
      <vt:variant>
        <vt:i4>57</vt:i4>
      </vt:variant>
      <vt:variant>
        <vt:i4>0</vt:i4>
      </vt:variant>
      <vt:variant>
        <vt:i4>5</vt:i4>
      </vt:variant>
      <vt:variant>
        <vt:lpwstr>http://www.freddiemac.com/multifamily/docs/bond-IN-security.doc</vt:lpwstr>
      </vt:variant>
      <vt:variant>
        <vt:lpwstr/>
      </vt:variant>
      <vt:variant>
        <vt:i4>6881333</vt:i4>
      </vt:variant>
      <vt:variant>
        <vt:i4>54</vt:i4>
      </vt:variant>
      <vt:variant>
        <vt:i4>0</vt:i4>
      </vt:variant>
      <vt:variant>
        <vt:i4>5</vt:i4>
      </vt:variant>
      <vt:variant>
        <vt:lpwstr>http://www.freddiemac.com/multifamily/docs/bond-IL-security.doc</vt:lpwstr>
      </vt:variant>
      <vt:variant>
        <vt:lpwstr/>
      </vt:variant>
      <vt:variant>
        <vt:i4>6357045</vt:i4>
      </vt:variant>
      <vt:variant>
        <vt:i4>51</vt:i4>
      </vt:variant>
      <vt:variant>
        <vt:i4>0</vt:i4>
      </vt:variant>
      <vt:variant>
        <vt:i4>5</vt:i4>
      </vt:variant>
      <vt:variant>
        <vt:lpwstr>http://www.freddiemac.com/multifamily/docs/bond-ID-security.doc</vt:lpwstr>
      </vt:variant>
      <vt:variant>
        <vt:lpwstr/>
      </vt:variant>
      <vt:variant>
        <vt:i4>7077940</vt:i4>
      </vt:variant>
      <vt:variant>
        <vt:i4>48</vt:i4>
      </vt:variant>
      <vt:variant>
        <vt:i4>0</vt:i4>
      </vt:variant>
      <vt:variant>
        <vt:i4>5</vt:i4>
      </vt:variant>
      <vt:variant>
        <vt:lpwstr>http://www.freddiemac.com/multifamily/docs/bond-HI-security.doc</vt:lpwstr>
      </vt:variant>
      <vt:variant>
        <vt:lpwstr/>
      </vt:variant>
      <vt:variant>
        <vt:i4>6553659</vt:i4>
      </vt:variant>
      <vt:variant>
        <vt:i4>45</vt:i4>
      </vt:variant>
      <vt:variant>
        <vt:i4>0</vt:i4>
      </vt:variant>
      <vt:variant>
        <vt:i4>5</vt:i4>
      </vt:variant>
      <vt:variant>
        <vt:lpwstr>http://www.freddiemac.com/multifamily/docs/bond-GA-security.doc</vt:lpwstr>
      </vt:variant>
      <vt:variant>
        <vt:lpwstr/>
      </vt:variant>
      <vt:variant>
        <vt:i4>6881338</vt:i4>
      </vt:variant>
      <vt:variant>
        <vt:i4>42</vt:i4>
      </vt:variant>
      <vt:variant>
        <vt:i4>0</vt:i4>
      </vt:variant>
      <vt:variant>
        <vt:i4>5</vt:i4>
      </vt:variant>
      <vt:variant>
        <vt:lpwstr>http://www.freddiemac.com/multifamily/docs/bond-FL-security.doc</vt:lpwstr>
      </vt:variant>
      <vt:variant>
        <vt:lpwstr/>
      </vt:variant>
      <vt:variant>
        <vt:i4>6684728</vt:i4>
      </vt:variant>
      <vt:variant>
        <vt:i4>39</vt:i4>
      </vt:variant>
      <vt:variant>
        <vt:i4>0</vt:i4>
      </vt:variant>
      <vt:variant>
        <vt:i4>5</vt:i4>
      </vt:variant>
      <vt:variant>
        <vt:lpwstr>http://www.freddiemac.com/multifamily/docs/bond-DC-security.doc</vt:lpwstr>
      </vt:variant>
      <vt:variant>
        <vt:lpwstr/>
      </vt:variant>
      <vt:variant>
        <vt:i4>6291512</vt:i4>
      </vt:variant>
      <vt:variant>
        <vt:i4>36</vt:i4>
      </vt:variant>
      <vt:variant>
        <vt:i4>0</vt:i4>
      </vt:variant>
      <vt:variant>
        <vt:i4>5</vt:i4>
      </vt:variant>
      <vt:variant>
        <vt:lpwstr>http://www.freddiemac.com/multifamily/docs/bond-DE-security.doc</vt:lpwstr>
      </vt:variant>
      <vt:variant>
        <vt:lpwstr/>
      </vt:variant>
      <vt:variant>
        <vt:i4>7405631</vt:i4>
      </vt:variant>
      <vt:variant>
        <vt:i4>33</vt:i4>
      </vt:variant>
      <vt:variant>
        <vt:i4>0</vt:i4>
      </vt:variant>
      <vt:variant>
        <vt:i4>5</vt:i4>
      </vt:variant>
      <vt:variant>
        <vt:lpwstr>http://www.freddiemac.com/multifamily/docs/bond-CT-security.doc</vt:lpwstr>
      </vt:variant>
      <vt:variant>
        <vt:lpwstr/>
      </vt:variant>
      <vt:variant>
        <vt:i4>6946879</vt:i4>
      </vt:variant>
      <vt:variant>
        <vt:i4>30</vt:i4>
      </vt:variant>
      <vt:variant>
        <vt:i4>0</vt:i4>
      </vt:variant>
      <vt:variant>
        <vt:i4>5</vt:i4>
      </vt:variant>
      <vt:variant>
        <vt:lpwstr>http://www.freddiemac.com/multifamily/docs/bond-CO-security.doc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http://www.freddiemac.com/multifamily/docs/bond-CA-security.doc</vt:lpwstr>
      </vt:variant>
      <vt:variant>
        <vt:lpwstr/>
      </vt:variant>
      <vt:variant>
        <vt:i4>7798845</vt:i4>
      </vt:variant>
      <vt:variant>
        <vt:i4>24</vt:i4>
      </vt:variant>
      <vt:variant>
        <vt:i4>0</vt:i4>
      </vt:variant>
      <vt:variant>
        <vt:i4>5</vt:i4>
      </vt:variant>
      <vt:variant>
        <vt:lpwstr>http://www.freddiemac.com/multifamily/docs/bond-AR-security.doc</vt:lpwstr>
      </vt:variant>
      <vt:variant>
        <vt:lpwstr/>
      </vt:variant>
      <vt:variant>
        <vt:i4>8323133</vt:i4>
      </vt:variant>
      <vt:variant>
        <vt:i4>21</vt:i4>
      </vt:variant>
      <vt:variant>
        <vt:i4>0</vt:i4>
      </vt:variant>
      <vt:variant>
        <vt:i4>5</vt:i4>
      </vt:variant>
      <vt:variant>
        <vt:lpwstr>http://www.freddiemac.com/multifamily/docs/bond-AZ-security.doc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http://www.freddiemac.com/multifamily/docs/bond-AK-security.doc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http://www.freddiemac.com/multifamily/docs/bond-AL-security.doc</vt:lpwstr>
      </vt:variant>
      <vt:variant>
        <vt:lpwstr/>
      </vt:variant>
      <vt:variant>
        <vt:i4>1179720</vt:i4>
      </vt:variant>
      <vt:variant>
        <vt:i4>12</vt:i4>
      </vt:variant>
      <vt:variant>
        <vt:i4>0</vt:i4>
      </vt:variant>
      <vt:variant>
        <vt:i4>5</vt:i4>
      </vt:variant>
      <vt:variant>
        <vt:lpwstr>http://www.freddiemac.com/multifamily/docs/uniform_covenants_for_bond_mortgages.doc</vt:lpwstr>
      </vt:variant>
      <vt:variant>
        <vt:lpwstr/>
      </vt:variant>
      <vt:variant>
        <vt:i4>2686985</vt:i4>
      </vt:variant>
      <vt:variant>
        <vt:i4>9</vt:i4>
      </vt:variant>
      <vt:variant>
        <vt:i4>0</vt:i4>
      </vt:variant>
      <vt:variant>
        <vt:i4>5</vt:i4>
      </vt:variant>
      <vt:variant>
        <vt:lpwstr>http://www.freddiemac.com/multifamily/docs/bond-uniform_covenants.doc</vt:lpwstr>
      </vt:variant>
      <vt:variant>
        <vt:lpwstr/>
      </vt:variant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http://www.freddiemac.com/multifamily/docs/Subordination_Agreement_private_Tax-Exempt_Bonds.doc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http://www.freddiemac.com/multifamily/docs/Subordination_Agreement_related_Tax-Exempt_Bonds.doc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http://www.freddiemac.com/multifamily/docs/Subordination_Agreement_gov_Tax-Exempt_Bonds.doc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2024-05-03T19:33:00Z</dcterms:created>
  <dcterms:modified xsi:type="dcterms:W3CDTF">2024-05-03T19:33:00Z</dcterms:modified>
</cp:coreProperties>
</file>