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E601" w14:textId="77777777" w:rsidR="00591CA5" w:rsidRDefault="00591CA5" w:rsidP="00591CA5">
      <w:pPr>
        <w:spacing w:after="0"/>
        <w:jc w:val="center"/>
        <w:rPr>
          <w:b/>
          <w:szCs w:val="20"/>
        </w:rPr>
      </w:pPr>
      <w:r w:rsidRPr="00AF408D">
        <w:rPr>
          <w:b/>
          <w:szCs w:val="20"/>
        </w:rPr>
        <w:t>Breakage Fee Provisions</w:t>
      </w:r>
    </w:p>
    <w:p w14:paraId="15578D28" w14:textId="77777777" w:rsidR="00591CA5" w:rsidRPr="00AF408D" w:rsidRDefault="00591CA5" w:rsidP="00591CA5">
      <w:pPr>
        <w:spacing w:after="0"/>
        <w:jc w:val="center"/>
        <w:rPr>
          <w:b/>
          <w:szCs w:val="20"/>
        </w:rPr>
      </w:pPr>
      <w:r>
        <w:rPr>
          <w:b/>
          <w:szCs w:val="20"/>
        </w:rPr>
        <w:t>(Commitment)</w:t>
      </w:r>
    </w:p>
    <w:p w14:paraId="5ACEF45F" w14:textId="77777777" w:rsidR="00591CA5" w:rsidRDefault="00591CA5" w:rsidP="00591CA5">
      <w:pPr>
        <w:spacing w:after="0"/>
        <w:jc w:val="center"/>
        <w:rPr>
          <w:b/>
        </w:rPr>
      </w:pPr>
      <w:r w:rsidRPr="000735AF">
        <w:rPr>
          <w:rFonts w:eastAsia="Calibri"/>
          <w:b/>
        </w:rPr>
        <w:t>(Revised 10-11-2021)</w:t>
      </w:r>
    </w:p>
    <w:p w14:paraId="5081CD3B" w14:textId="77777777" w:rsidR="00591CA5" w:rsidRDefault="00591CA5" w:rsidP="00591CA5">
      <w:pPr>
        <w:pStyle w:val="FRECommERLAStyle"/>
        <w:jc w:val="center"/>
        <w:rPr>
          <w:b/>
          <w:highlight w:val="yellow"/>
        </w:rPr>
      </w:pPr>
    </w:p>
    <w:p w14:paraId="1EAB3FC8" w14:textId="77777777" w:rsidR="00591CA5" w:rsidRDefault="00591CA5" w:rsidP="00591CA5">
      <w:pPr>
        <w:pStyle w:val="FRECommERLAStyle"/>
        <w:jc w:val="center"/>
        <w:rPr>
          <w:b/>
          <w:highlight w:val="yellow"/>
        </w:rPr>
      </w:pPr>
      <w:r w:rsidRPr="008E2D4D">
        <w:rPr>
          <w:b/>
          <w:highlight w:val="yellow"/>
        </w:rPr>
        <w:t>(ONLY APPLICABLE TO LETTERS OF COMMITMENT)</w:t>
      </w:r>
    </w:p>
    <w:p w14:paraId="2ABA8BFD" w14:textId="77777777" w:rsidR="00591CA5" w:rsidRPr="008E2D4D" w:rsidRDefault="00591CA5" w:rsidP="00591CA5">
      <w:pPr>
        <w:pStyle w:val="FRECommERLAStyle"/>
        <w:jc w:val="center"/>
        <w:rPr>
          <w:b/>
          <w:highlight w:val="yellow"/>
        </w:rPr>
      </w:pPr>
      <w:r>
        <w:rPr>
          <w:b/>
          <w:highlight w:val="yellow"/>
        </w:rPr>
        <w:t>(NOT APPLICABLE TO SBL, BOND CREDIT ENHANCEMENTS OR UNFUNDED FORWARDS)</w:t>
      </w:r>
    </w:p>
    <w:p w14:paraId="3F70275D" w14:textId="77777777" w:rsidR="00591CA5" w:rsidRPr="00591CA5" w:rsidRDefault="00591CA5" w:rsidP="00591CA5">
      <w:pPr>
        <w:spacing w:after="0"/>
        <w:jc w:val="center"/>
        <w:rPr>
          <w:b/>
          <w:szCs w:val="20"/>
        </w:rPr>
      </w:pPr>
      <w:r w:rsidRPr="00591CA5">
        <w:rPr>
          <w:b/>
          <w:szCs w:val="20"/>
          <w:highlight w:val="yellow"/>
        </w:rPr>
        <w:t>(CONTACT FREDDIE MAC FOR EARLY RATE LOCK APPLICATIONS)</w:t>
      </w:r>
    </w:p>
    <w:p w14:paraId="51992274" w14:textId="77777777" w:rsidR="00591CA5" w:rsidRPr="00AF408D" w:rsidRDefault="00591CA5" w:rsidP="00591CA5">
      <w:pPr>
        <w:keepNext/>
        <w:spacing w:after="0"/>
        <w:jc w:val="center"/>
        <w:rPr>
          <w:b/>
          <w:szCs w:val="20"/>
        </w:rPr>
      </w:pPr>
    </w:p>
    <w:p w14:paraId="7ACBA928" w14:textId="77777777" w:rsidR="00591CA5" w:rsidRPr="0003440E" w:rsidRDefault="00591CA5" w:rsidP="00591CA5">
      <w:pPr>
        <w:pStyle w:val="FRECommERLAStyle"/>
        <w:jc w:val="center"/>
        <w:rPr>
          <w:rFonts w:ascii="Times New Roman Bold" w:hAnsi="Times New Roman Bold"/>
          <w:b/>
        </w:rPr>
      </w:pPr>
      <w:r w:rsidRPr="0003440E">
        <w:rPr>
          <w:rFonts w:ascii="Times New Roman Bold" w:hAnsi="Times New Roman Bold"/>
          <w:b/>
          <w:highlight w:val="yellow"/>
        </w:rPr>
        <w:t>[SELLER MUST INSERT INTO APPLICATION, COMMITMENT, OR OTHER WRITTEN AGREEMENT WITH BORROWER AS REQUIRED BY GUIDE SECTION 27.4(b)]</w:t>
      </w:r>
    </w:p>
    <w:p w14:paraId="72256EBF" w14:textId="77777777" w:rsidR="00591CA5" w:rsidRPr="00AF408D" w:rsidRDefault="00591CA5" w:rsidP="00591CA5">
      <w:pPr>
        <w:spacing w:after="0"/>
        <w:jc w:val="left"/>
        <w:rPr>
          <w:rFonts w:ascii="Times New Roman Bold" w:hAnsi="Times New Roman Bold"/>
          <w:b/>
          <w:szCs w:val="20"/>
        </w:rPr>
      </w:pPr>
    </w:p>
    <w:p w14:paraId="2116821C" w14:textId="77777777" w:rsidR="00591CA5" w:rsidRPr="00AF408D" w:rsidRDefault="00591CA5" w:rsidP="00591CA5">
      <w:pPr>
        <w:spacing w:after="0"/>
        <w:jc w:val="left"/>
        <w:rPr>
          <w:szCs w:val="20"/>
          <w:u w:val="single"/>
        </w:rPr>
      </w:pPr>
      <w:r w:rsidRPr="00AF408D">
        <w:rPr>
          <w:szCs w:val="20"/>
        </w:rPr>
        <w:t>Property Name and Address:</w:t>
      </w:r>
      <w:r w:rsidRPr="00AF408D">
        <w:rPr>
          <w:szCs w:val="20"/>
        </w:rPr>
        <w:tab/>
      </w:r>
      <w:r w:rsidRPr="00AF408D">
        <w:rPr>
          <w:szCs w:val="20"/>
        </w:rPr>
        <w:tab/>
      </w:r>
      <w:r w:rsidRPr="00AF408D">
        <w:rPr>
          <w:szCs w:val="20"/>
          <w:u w:val="single"/>
        </w:rPr>
        <w:tab/>
      </w:r>
      <w:r w:rsidRPr="00AF408D">
        <w:rPr>
          <w:szCs w:val="20"/>
          <w:u w:val="single"/>
        </w:rPr>
        <w:tab/>
      </w:r>
      <w:r w:rsidRPr="00AF408D">
        <w:rPr>
          <w:szCs w:val="20"/>
          <w:u w:val="single"/>
        </w:rPr>
        <w:tab/>
      </w:r>
      <w:r w:rsidRPr="00AF408D">
        <w:rPr>
          <w:szCs w:val="20"/>
          <w:u w:val="single"/>
        </w:rPr>
        <w:tab/>
      </w:r>
      <w:r w:rsidRPr="00AF408D">
        <w:rPr>
          <w:szCs w:val="20"/>
          <w:u w:val="single"/>
        </w:rPr>
        <w:tab/>
      </w:r>
      <w:r w:rsidRPr="00AF408D">
        <w:rPr>
          <w:szCs w:val="20"/>
          <w:u w:val="single"/>
        </w:rPr>
        <w:tab/>
      </w:r>
    </w:p>
    <w:p w14:paraId="778A3539" w14:textId="77777777" w:rsidR="00591CA5" w:rsidRPr="00AF408D" w:rsidRDefault="00591CA5" w:rsidP="00591CA5">
      <w:pPr>
        <w:spacing w:after="0"/>
        <w:jc w:val="left"/>
        <w:rPr>
          <w:szCs w:val="20"/>
          <w:u w:val="single"/>
        </w:rPr>
      </w:pPr>
      <w:r w:rsidRPr="00AF408D">
        <w:rPr>
          <w:szCs w:val="20"/>
        </w:rPr>
        <w:tab/>
      </w:r>
      <w:r w:rsidRPr="00AF408D">
        <w:rPr>
          <w:szCs w:val="20"/>
        </w:rPr>
        <w:tab/>
      </w:r>
      <w:r w:rsidRPr="00AF408D">
        <w:rPr>
          <w:szCs w:val="20"/>
        </w:rPr>
        <w:tab/>
      </w:r>
      <w:r w:rsidRPr="00AF408D">
        <w:rPr>
          <w:szCs w:val="20"/>
        </w:rPr>
        <w:tab/>
      </w:r>
      <w:r w:rsidRPr="00AF408D">
        <w:rPr>
          <w:szCs w:val="20"/>
        </w:rPr>
        <w:tab/>
      </w:r>
      <w:r w:rsidRPr="00AF408D">
        <w:rPr>
          <w:szCs w:val="20"/>
          <w:u w:val="single"/>
        </w:rPr>
        <w:tab/>
      </w:r>
      <w:r w:rsidRPr="00AF408D">
        <w:rPr>
          <w:szCs w:val="20"/>
          <w:u w:val="single"/>
        </w:rPr>
        <w:tab/>
      </w:r>
      <w:r w:rsidRPr="00AF408D">
        <w:rPr>
          <w:szCs w:val="20"/>
          <w:u w:val="single"/>
        </w:rPr>
        <w:tab/>
      </w:r>
      <w:r w:rsidRPr="00AF408D">
        <w:rPr>
          <w:szCs w:val="20"/>
          <w:u w:val="single"/>
        </w:rPr>
        <w:tab/>
      </w:r>
      <w:r w:rsidRPr="00AF408D">
        <w:rPr>
          <w:szCs w:val="20"/>
          <w:u w:val="single"/>
        </w:rPr>
        <w:tab/>
      </w:r>
      <w:r w:rsidRPr="00AF408D">
        <w:rPr>
          <w:szCs w:val="20"/>
          <w:u w:val="single"/>
        </w:rPr>
        <w:tab/>
      </w:r>
    </w:p>
    <w:p w14:paraId="0C28CFBC" w14:textId="77777777" w:rsidR="00591CA5" w:rsidRPr="00AF408D" w:rsidRDefault="00591CA5" w:rsidP="00591CA5">
      <w:pPr>
        <w:spacing w:after="0"/>
        <w:jc w:val="left"/>
        <w:rPr>
          <w:szCs w:val="20"/>
        </w:rPr>
      </w:pPr>
      <w:r w:rsidRPr="00AF408D">
        <w:rPr>
          <w:szCs w:val="20"/>
        </w:rPr>
        <w:t xml:space="preserve">Borrower: </w:t>
      </w:r>
      <w:r w:rsidRPr="00AF408D">
        <w:rPr>
          <w:szCs w:val="20"/>
        </w:rPr>
        <w:tab/>
      </w:r>
      <w:r w:rsidRPr="00AF408D">
        <w:rPr>
          <w:szCs w:val="20"/>
        </w:rPr>
        <w:tab/>
      </w:r>
      <w:r w:rsidRPr="00AF408D">
        <w:rPr>
          <w:szCs w:val="20"/>
        </w:rPr>
        <w:tab/>
      </w:r>
      <w:r w:rsidRPr="00AF408D">
        <w:rPr>
          <w:szCs w:val="20"/>
        </w:rPr>
        <w:tab/>
        <w:t>____________________________________</w:t>
      </w:r>
    </w:p>
    <w:p w14:paraId="14B614E0" w14:textId="77777777" w:rsidR="00591CA5" w:rsidRPr="00AF408D" w:rsidRDefault="00591CA5" w:rsidP="00591CA5">
      <w:pPr>
        <w:spacing w:after="0"/>
        <w:jc w:val="left"/>
        <w:rPr>
          <w:szCs w:val="20"/>
        </w:rPr>
      </w:pPr>
      <w:r w:rsidRPr="00AF408D">
        <w:rPr>
          <w:szCs w:val="20"/>
        </w:rPr>
        <w:t>Guarantor:</w:t>
      </w:r>
      <w:r w:rsidRPr="00AF408D">
        <w:rPr>
          <w:szCs w:val="20"/>
        </w:rPr>
        <w:tab/>
      </w:r>
      <w:r w:rsidRPr="00AF408D">
        <w:rPr>
          <w:szCs w:val="20"/>
        </w:rPr>
        <w:tab/>
      </w:r>
      <w:r w:rsidRPr="00AF408D">
        <w:rPr>
          <w:szCs w:val="20"/>
        </w:rPr>
        <w:tab/>
      </w:r>
      <w:r w:rsidRPr="00AF408D">
        <w:rPr>
          <w:szCs w:val="20"/>
        </w:rPr>
        <w:tab/>
        <w:t>____________________________________</w:t>
      </w:r>
    </w:p>
    <w:p w14:paraId="284B83FB" w14:textId="77777777" w:rsidR="00591CA5" w:rsidRPr="00AF408D" w:rsidRDefault="00591CA5" w:rsidP="00591CA5">
      <w:pPr>
        <w:spacing w:after="0"/>
        <w:jc w:val="left"/>
        <w:rPr>
          <w:szCs w:val="20"/>
          <w:u w:val="single"/>
        </w:rPr>
      </w:pPr>
      <w:r w:rsidRPr="00AF408D">
        <w:rPr>
          <w:szCs w:val="20"/>
        </w:rPr>
        <w:t>Mortgage Amount:</w:t>
      </w:r>
      <w:r w:rsidRPr="00AF408D">
        <w:rPr>
          <w:szCs w:val="20"/>
        </w:rPr>
        <w:tab/>
      </w:r>
      <w:r w:rsidRPr="00AF408D">
        <w:rPr>
          <w:szCs w:val="20"/>
        </w:rPr>
        <w:tab/>
      </w:r>
      <w:r w:rsidRPr="00AF408D">
        <w:rPr>
          <w:szCs w:val="20"/>
        </w:rPr>
        <w:tab/>
        <w:t xml:space="preserve"> ____________________________________</w:t>
      </w:r>
      <w:r w:rsidRPr="00AF408D">
        <w:rPr>
          <w:szCs w:val="20"/>
        </w:rPr>
        <w:tab/>
      </w:r>
      <w:r w:rsidRPr="00AF408D">
        <w:rPr>
          <w:szCs w:val="20"/>
        </w:rPr>
        <w:tab/>
      </w:r>
      <w:r w:rsidRPr="00AF408D">
        <w:rPr>
          <w:szCs w:val="20"/>
        </w:rPr>
        <w:tab/>
      </w:r>
    </w:p>
    <w:p w14:paraId="74130D45" w14:textId="77777777" w:rsidR="00591CA5" w:rsidRPr="00AF408D" w:rsidRDefault="00591CA5" w:rsidP="00591CA5">
      <w:pPr>
        <w:keepNext/>
        <w:spacing w:after="0"/>
        <w:ind w:left="720"/>
        <w:jc w:val="center"/>
        <w:rPr>
          <w:b/>
          <w:i/>
          <w:szCs w:val="20"/>
        </w:rPr>
      </w:pPr>
    </w:p>
    <w:p w14:paraId="19F10F26" w14:textId="77777777" w:rsidR="00591CA5" w:rsidRPr="00AF408D" w:rsidRDefault="00591CA5" w:rsidP="00591CA5">
      <w:pPr>
        <w:keepNext/>
        <w:spacing w:after="0"/>
        <w:ind w:left="720" w:hanging="720"/>
        <w:jc w:val="left"/>
        <w:rPr>
          <w:szCs w:val="20"/>
        </w:rPr>
      </w:pPr>
      <w:r w:rsidRPr="00AF408D">
        <w:rPr>
          <w:szCs w:val="20"/>
        </w:rPr>
        <w:t>1.</w:t>
      </w:r>
      <w:r w:rsidRPr="00AF408D">
        <w:rPr>
          <w:szCs w:val="20"/>
        </w:rPr>
        <w:tab/>
      </w:r>
      <w:r w:rsidRPr="00AF408D">
        <w:rPr>
          <w:szCs w:val="20"/>
          <w:u w:val="single"/>
        </w:rPr>
        <w:t>Breakage Fee</w:t>
      </w:r>
    </w:p>
    <w:p w14:paraId="4FDEDAAD" w14:textId="77777777" w:rsidR="00591CA5" w:rsidRPr="00AF408D" w:rsidRDefault="00591CA5" w:rsidP="00591CA5">
      <w:pPr>
        <w:spacing w:after="0"/>
        <w:ind w:left="720"/>
        <w:jc w:val="left"/>
        <w:rPr>
          <w:szCs w:val="20"/>
        </w:rPr>
      </w:pPr>
      <w:r w:rsidRPr="00AF408D">
        <w:rPr>
          <w:szCs w:val="20"/>
        </w:rPr>
        <w:t xml:space="preserve">Borrower and Breakage Obligor each acknowledges that ___________________ </w:t>
      </w:r>
      <w:r w:rsidRPr="00AF408D">
        <w:rPr>
          <w:b/>
          <w:szCs w:val="20"/>
        </w:rPr>
        <w:t>[</w:t>
      </w:r>
      <w:r w:rsidRPr="00AF408D">
        <w:rPr>
          <w:b/>
          <w:szCs w:val="20"/>
          <w:highlight w:val="yellow"/>
        </w:rPr>
        <w:t>SELLER TO INSERT SELLER’S NAME]</w:t>
      </w:r>
      <w:r w:rsidRPr="00AF408D">
        <w:rPr>
          <w:b/>
          <w:szCs w:val="20"/>
        </w:rPr>
        <w:t xml:space="preserve"> </w:t>
      </w:r>
      <w:r w:rsidRPr="00AF408D">
        <w:rPr>
          <w:szCs w:val="20"/>
        </w:rPr>
        <w:t>(“</w:t>
      </w:r>
      <w:r w:rsidRPr="00AF408D">
        <w:rPr>
          <w:b/>
          <w:szCs w:val="20"/>
        </w:rPr>
        <w:t>Lender</w:t>
      </w:r>
      <w:r w:rsidRPr="00AF408D">
        <w:rPr>
          <w:szCs w:val="20"/>
        </w:rPr>
        <w:t>”) is executing this ______________ with Borrower (“</w:t>
      </w:r>
      <w:r w:rsidRPr="00AF408D">
        <w:rPr>
          <w:b/>
          <w:szCs w:val="20"/>
        </w:rPr>
        <w:t>Lender Commitment</w:t>
      </w:r>
      <w:r w:rsidRPr="00AF408D">
        <w:rPr>
          <w:szCs w:val="20"/>
        </w:rPr>
        <w:t>”) in reliance on the agreement of the Federal Home Loan Mortgage Corporation (“</w:t>
      </w:r>
      <w:r w:rsidRPr="00AF408D">
        <w:rPr>
          <w:b/>
          <w:szCs w:val="20"/>
        </w:rPr>
        <w:t>Freddie Mac</w:t>
      </w:r>
      <w:r w:rsidRPr="00AF408D">
        <w:rPr>
          <w:szCs w:val="20"/>
        </w:rPr>
        <w:t>”) to lock the interest rate (“</w:t>
      </w:r>
      <w:r w:rsidRPr="00AF408D">
        <w:rPr>
          <w:b/>
          <w:szCs w:val="20"/>
        </w:rPr>
        <w:t>Rate Lock</w:t>
      </w:r>
      <w:r w:rsidRPr="00AF408D">
        <w:rPr>
          <w:szCs w:val="20"/>
        </w:rPr>
        <w:t>”) for the Mortgage and enter into a Commitment to purchase the Mortgage (“</w:t>
      </w:r>
      <w:r w:rsidRPr="00AF408D">
        <w:rPr>
          <w:b/>
          <w:szCs w:val="20"/>
        </w:rPr>
        <w:t>Freddie Mac</w:t>
      </w:r>
      <w:r w:rsidRPr="00AF408D">
        <w:rPr>
          <w:szCs w:val="20"/>
        </w:rPr>
        <w:t xml:space="preserve"> </w:t>
      </w:r>
      <w:r w:rsidRPr="00AF408D">
        <w:rPr>
          <w:b/>
          <w:szCs w:val="20"/>
        </w:rPr>
        <w:t>Commitment</w:t>
      </w:r>
      <w:r w:rsidRPr="00AF408D">
        <w:rPr>
          <w:szCs w:val="20"/>
        </w:rPr>
        <w:t>”).</w:t>
      </w:r>
    </w:p>
    <w:p w14:paraId="33780FB1" w14:textId="77777777" w:rsidR="00591CA5" w:rsidRPr="00AF408D" w:rsidRDefault="00591CA5" w:rsidP="00591CA5">
      <w:pPr>
        <w:spacing w:after="0"/>
        <w:jc w:val="left"/>
        <w:rPr>
          <w:szCs w:val="20"/>
        </w:rPr>
      </w:pPr>
    </w:p>
    <w:p w14:paraId="1FFEC1E9" w14:textId="77777777" w:rsidR="00591CA5" w:rsidRPr="00AF408D" w:rsidRDefault="00591CA5" w:rsidP="00591CA5">
      <w:pPr>
        <w:spacing w:after="0"/>
        <w:ind w:left="720"/>
        <w:jc w:val="left"/>
        <w:rPr>
          <w:b/>
          <w:szCs w:val="20"/>
        </w:rPr>
      </w:pPr>
      <w:r w:rsidRPr="00AF408D">
        <w:rPr>
          <w:szCs w:val="20"/>
        </w:rPr>
        <w:t xml:space="preserve">Borrower and Breakage Obligor each further acknowledges: </w:t>
      </w:r>
    </w:p>
    <w:p w14:paraId="0B61BB80" w14:textId="77777777" w:rsidR="00591CA5" w:rsidRPr="00AF408D" w:rsidRDefault="00591CA5" w:rsidP="00591CA5">
      <w:pPr>
        <w:spacing w:after="0"/>
        <w:jc w:val="left"/>
        <w:rPr>
          <w:b/>
          <w:szCs w:val="20"/>
        </w:rPr>
      </w:pPr>
    </w:p>
    <w:p w14:paraId="3F62C54A" w14:textId="77777777" w:rsidR="00591CA5" w:rsidRPr="00AF408D" w:rsidRDefault="00591CA5" w:rsidP="00591CA5">
      <w:pPr>
        <w:spacing w:after="0"/>
        <w:ind w:left="1440" w:hanging="720"/>
        <w:jc w:val="left"/>
        <w:rPr>
          <w:szCs w:val="20"/>
        </w:rPr>
      </w:pPr>
      <w:r w:rsidRPr="00AF408D">
        <w:rPr>
          <w:szCs w:val="20"/>
        </w:rPr>
        <w:t>a.</w:t>
      </w:r>
      <w:r w:rsidRPr="00AF408D">
        <w:rPr>
          <w:szCs w:val="20"/>
        </w:rPr>
        <w:tab/>
        <w:t>In connection with the Rate Lock, Freddie Mac will enter into one or more “hedge” transactions (“</w:t>
      </w:r>
      <w:r w:rsidRPr="00AF408D">
        <w:rPr>
          <w:b/>
          <w:szCs w:val="20"/>
        </w:rPr>
        <w:t>Hedge</w:t>
      </w:r>
      <w:r w:rsidRPr="00AF408D">
        <w:rPr>
          <w:szCs w:val="20"/>
        </w:rPr>
        <w:t>”) in which it will incur trading costs (“</w:t>
      </w:r>
      <w:r w:rsidRPr="00AF408D">
        <w:rPr>
          <w:b/>
          <w:szCs w:val="20"/>
        </w:rPr>
        <w:t>Hedging Costs</w:t>
      </w:r>
      <w:r w:rsidRPr="00AF408D">
        <w:rPr>
          <w:szCs w:val="20"/>
        </w:rPr>
        <w:t xml:space="preserve">”). </w:t>
      </w:r>
    </w:p>
    <w:p w14:paraId="4B376CAB" w14:textId="77777777" w:rsidR="00591CA5" w:rsidRPr="00AF408D" w:rsidRDefault="00591CA5" w:rsidP="00591CA5">
      <w:pPr>
        <w:spacing w:after="0"/>
        <w:ind w:left="1440" w:hanging="720"/>
        <w:jc w:val="left"/>
        <w:rPr>
          <w:szCs w:val="20"/>
        </w:rPr>
      </w:pPr>
    </w:p>
    <w:p w14:paraId="2850AC39" w14:textId="77777777" w:rsidR="00591CA5" w:rsidRPr="00AF408D" w:rsidRDefault="00591CA5" w:rsidP="00591CA5">
      <w:pPr>
        <w:spacing w:after="0"/>
        <w:ind w:left="1440" w:hanging="720"/>
        <w:jc w:val="left"/>
        <w:rPr>
          <w:szCs w:val="20"/>
        </w:rPr>
      </w:pPr>
      <w:r w:rsidRPr="00AF408D">
        <w:rPr>
          <w:szCs w:val="20"/>
        </w:rPr>
        <w:t>b.</w:t>
      </w:r>
      <w:r w:rsidRPr="00AF408D">
        <w:rPr>
          <w:szCs w:val="20"/>
        </w:rPr>
        <w:tab/>
        <w:t>If Freddie Mac is forced to liquidate its Hedge and unwind the Rate Lock because of a Default (as defined below), Freddie Mac could incur Hedge losses (“</w:t>
      </w:r>
      <w:r w:rsidRPr="00AF408D">
        <w:rPr>
          <w:b/>
          <w:szCs w:val="20"/>
        </w:rPr>
        <w:t>Hedging Losses</w:t>
      </w:r>
      <w:r w:rsidRPr="00AF408D">
        <w:rPr>
          <w:szCs w:val="20"/>
        </w:rPr>
        <w:t>”). The Hedging Costs and the Hedging Losses are referred to collectively as the “</w:t>
      </w:r>
      <w:r w:rsidRPr="00AF408D">
        <w:rPr>
          <w:b/>
          <w:szCs w:val="20"/>
        </w:rPr>
        <w:t>Breakage Fee</w:t>
      </w:r>
      <w:r w:rsidRPr="00AF408D">
        <w:rPr>
          <w:szCs w:val="20"/>
        </w:rPr>
        <w:t xml:space="preserve">”. In such event, Lender will be obligated to pay Freddie Mac the Breakage Fee determined as set forth in the Section entitled “Determination of Breakage Fee” below. </w:t>
      </w:r>
    </w:p>
    <w:p w14:paraId="39EBC0DA" w14:textId="77777777" w:rsidR="00591CA5" w:rsidRPr="00AF408D" w:rsidRDefault="00591CA5" w:rsidP="00591CA5">
      <w:pPr>
        <w:spacing w:after="0"/>
        <w:ind w:left="1440" w:hanging="720"/>
        <w:jc w:val="left"/>
        <w:rPr>
          <w:szCs w:val="20"/>
        </w:rPr>
      </w:pPr>
    </w:p>
    <w:p w14:paraId="2452433D" w14:textId="77777777" w:rsidR="00591CA5" w:rsidRPr="00AF408D" w:rsidRDefault="00591CA5" w:rsidP="00591CA5">
      <w:pPr>
        <w:spacing w:after="0"/>
        <w:ind w:left="1440" w:hanging="720"/>
        <w:jc w:val="left"/>
        <w:rPr>
          <w:szCs w:val="20"/>
        </w:rPr>
      </w:pPr>
      <w:r w:rsidRPr="00AF408D">
        <w:rPr>
          <w:szCs w:val="20"/>
        </w:rPr>
        <w:t>c.</w:t>
      </w:r>
      <w:r w:rsidRPr="00AF408D">
        <w:rPr>
          <w:szCs w:val="20"/>
        </w:rPr>
        <w:tab/>
        <w:t>Upon a Default, Lender intends to pay to Freddie Mac any good faith deposit Lender has collected under this Lender Commitment (“</w:t>
      </w:r>
      <w:r w:rsidRPr="00AF408D">
        <w:rPr>
          <w:b/>
          <w:bCs/>
          <w:szCs w:val="20"/>
        </w:rPr>
        <w:t>GFD</w:t>
      </w:r>
      <w:r w:rsidRPr="00AF408D">
        <w:rPr>
          <w:szCs w:val="20"/>
        </w:rPr>
        <w:t xml:space="preserve">”). Any GFD collected by Lender is a deposit for, and not in full satisfaction of, the payment of the Breakage Fee, and the Breakage Fee may exceed the amount of the GFD.  </w:t>
      </w:r>
    </w:p>
    <w:p w14:paraId="02EA3F0D" w14:textId="77777777" w:rsidR="00591CA5" w:rsidRPr="00AF408D" w:rsidRDefault="00591CA5" w:rsidP="00591CA5">
      <w:pPr>
        <w:spacing w:after="0"/>
        <w:ind w:left="1440" w:hanging="720"/>
        <w:jc w:val="left"/>
        <w:rPr>
          <w:szCs w:val="20"/>
        </w:rPr>
      </w:pPr>
    </w:p>
    <w:p w14:paraId="6F817890" w14:textId="77777777" w:rsidR="00591CA5" w:rsidRPr="00AF408D" w:rsidRDefault="00591CA5" w:rsidP="00591CA5">
      <w:pPr>
        <w:spacing w:after="0"/>
        <w:ind w:left="1440" w:hanging="720"/>
        <w:jc w:val="left"/>
        <w:rPr>
          <w:szCs w:val="20"/>
        </w:rPr>
      </w:pPr>
      <w:r w:rsidRPr="00AF408D">
        <w:rPr>
          <w:szCs w:val="20"/>
        </w:rPr>
        <w:lastRenderedPageBreak/>
        <w:t>d.</w:t>
      </w:r>
      <w:r w:rsidRPr="00AF408D">
        <w:rPr>
          <w:szCs w:val="20"/>
        </w:rPr>
        <w:tab/>
        <w:t>Upon a Default, Lender also intends to assign to Freddie Mac the Borrower’s and Breakage Obligor’s obligation pursuant to this Lender Commitment to pay Lender the Breakage Fee (“</w:t>
      </w:r>
      <w:r w:rsidRPr="00AF408D">
        <w:rPr>
          <w:b/>
          <w:szCs w:val="20"/>
        </w:rPr>
        <w:t>Assignment</w:t>
      </w:r>
      <w:r w:rsidRPr="00AF408D">
        <w:rPr>
          <w:szCs w:val="20"/>
        </w:rPr>
        <w:t>”)</w:t>
      </w:r>
      <w:bookmarkStart w:id="0" w:name="_Hlk35634659"/>
      <w:r w:rsidRPr="00AF408D">
        <w:rPr>
          <w:szCs w:val="20"/>
        </w:rPr>
        <w:t>.  Pursuant to the Assignment, Freddie Mac will be entitled to collect from Borrower and Breakage Obligor any portion of the Breakage Fee that exceeds the GFD.</w:t>
      </w:r>
    </w:p>
    <w:bookmarkEnd w:id="0"/>
    <w:p w14:paraId="54FB17E9" w14:textId="77777777" w:rsidR="00591CA5" w:rsidRPr="00AF408D" w:rsidRDefault="00591CA5" w:rsidP="00591CA5">
      <w:pPr>
        <w:spacing w:after="0"/>
        <w:ind w:left="2160" w:hanging="720"/>
        <w:jc w:val="left"/>
        <w:rPr>
          <w:szCs w:val="20"/>
        </w:rPr>
      </w:pPr>
    </w:p>
    <w:p w14:paraId="3FD13045" w14:textId="77777777" w:rsidR="00591CA5" w:rsidRPr="00AF408D" w:rsidRDefault="00591CA5" w:rsidP="00591CA5">
      <w:pPr>
        <w:spacing w:after="0"/>
        <w:ind w:left="720" w:hanging="720"/>
        <w:jc w:val="left"/>
        <w:rPr>
          <w:szCs w:val="20"/>
          <w:u w:val="single"/>
        </w:rPr>
      </w:pPr>
      <w:r w:rsidRPr="00AF408D">
        <w:rPr>
          <w:szCs w:val="20"/>
        </w:rPr>
        <w:t>2.</w:t>
      </w:r>
      <w:r w:rsidRPr="00AF408D">
        <w:rPr>
          <w:szCs w:val="20"/>
        </w:rPr>
        <w:tab/>
      </w:r>
      <w:r w:rsidRPr="00AF408D">
        <w:rPr>
          <w:szCs w:val="20"/>
          <w:u w:val="single"/>
        </w:rPr>
        <w:t>Default under Lender Commitment</w:t>
      </w:r>
    </w:p>
    <w:p w14:paraId="57358CC0" w14:textId="77777777" w:rsidR="00591CA5" w:rsidRPr="00AF408D" w:rsidRDefault="00591CA5" w:rsidP="00591CA5">
      <w:pPr>
        <w:spacing w:after="0"/>
        <w:ind w:left="720"/>
        <w:jc w:val="left"/>
        <w:rPr>
          <w:szCs w:val="20"/>
        </w:rPr>
      </w:pPr>
      <w:r w:rsidRPr="00AF408D">
        <w:rPr>
          <w:szCs w:val="20"/>
        </w:rPr>
        <w:t>Borrower and Breakage Obligor each acknowledges that if after Rate Lock any of the following occurs (each, a “</w:t>
      </w:r>
      <w:r w:rsidRPr="00AF408D">
        <w:rPr>
          <w:b/>
          <w:szCs w:val="20"/>
        </w:rPr>
        <w:t>Default</w:t>
      </w:r>
      <w:r w:rsidRPr="00AF408D">
        <w:rPr>
          <w:szCs w:val="20"/>
        </w:rPr>
        <w:t>”), Borrower and Breakage Obligor will be liable to Lender for the payment of the Breakage Fee</w:t>
      </w:r>
      <w:r>
        <w:rPr>
          <w:szCs w:val="20"/>
        </w:rPr>
        <w:t>, in addition to the Application Fee</w:t>
      </w:r>
      <w:r w:rsidRPr="00AF408D">
        <w:rPr>
          <w:szCs w:val="20"/>
        </w:rPr>
        <w:t xml:space="preserve">.  </w:t>
      </w:r>
    </w:p>
    <w:p w14:paraId="3C6578BE" w14:textId="77777777" w:rsidR="00591CA5" w:rsidRPr="00AF408D" w:rsidRDefault="00591CA5" w:rsidP="00591CA5">
      <w:pPr>
        <w:spacing w:after="0"/>
        <w:ind w:left="720"/>
        <w:jc w:val="left"/>
        <w:rPr>
          <w:szCs w:val="20"/>
        </w:rPr>
      </w:pPr>
    </w:p>
    <w:p w14:paraId="1BD5E672" w14:textId="77777777" w:rsidR="00591CA5" w:rsidRPr="00AF408D" w:rsidRDefault="00591CA5" w:rsidP="00591CA5">
      <w:pPr>
        <w:spacing w:after="0"/>
        <w:ind w:left="1440" w:hanging="720"/>
        <w:jc w:val="left"/>
        <w:rPr>
          <w:szCs w:val="20"/>
        </w:rPr>
      </w:pPr>
      <w:r w:rsidRPr="001C708E">
        <w:rPr>
          <w:szCs w:val="20"/>
        </w:rPr>
        <w:t>a.</w:t>
      </w:r>
      <w:r w:rsidRPr="001C708E">
        <w:rPr>
          <w:szCs w:val="20"/>
        </w:rPr>
        <w:tab/>
      </w:r>
      <w:r w:rsidRPr="001C708E">
        <w:rPr>
          <w:bCs/>
        </w:rPr>
        <w:t xml:space="preserve">Borrower </w:t>
      </w:r>
      <w:r w:rsidRPr="001C708E">
        <w:rPr>
          <w:szCs w:val="20"/>
        </w:rPr>
        <w:t xml:space="preserve">fails to execute and return </w:t>
      </w:r>
      <w:r w:rsidRPr="001C708E">
        <w:rPr>
          <w:szCs w:val="20"/>
          <w:u w:val="single"/>
        </w:rPr>
        <w:t xml:space="preserve">Exhibit A </w:t>
      </w:r>
      <w:r w:rsidRPr="001C708E">
        <w:rPr>
          <w:szCs w:val="20"/>
        </w:rPr>
        <w:t>by the date specified in the Lender Commitment.</w:t>
      </w:r>
    </w:p>
    <w:p w14:paraId="77F65996" w14:textId="77777777" w:rsidR="00591CA5" w:rsidRPr="00AF408D" w:rsidRDefault="00591CA5" w:rsidP="00591CA5">
      <w:pPr>
        <w:spacing w:after="0"/>
        <w:ind w:left="720" w:hanging="720"/>
        <w:jc w:val="left"/>
        <w:rPr>
          <w:szCs w:val="20"/>
        </w:rPr>
      </w:pPr>
    </w:p>
    <w:p w14:paraId="40D7B5D8" w14:textId="77777777" w:rsidR="00591CA5" w:rsidRPr="00AF408D" w:rsidRDefault="00591CA5" w:rsidP="00591CA5">
      <w:pPr>
        <w:spacing w:after="0"/>
        <w:ind w:left="1440" w:hanging="720"/>
        <w:jc w:val="left"/>
        <w:rPr>
          <w:szCs w:val="20"/>
        </w:rPr>
      </w:pPr>
      <w:bookmarkStart w:id="1" w:name="_Hlk40782177"/>
      <w:r w:rsidRPr="00AF408D">
        <w:rPr>
          <w:szCs w:val="20"/>
        </w:rPr>
        <w:t>b.</w:t>
      </w:r>
      <w:r w:rsidRPr="00AF408D">
        <w:rPr>
          <w:szCs w:val="20"/>
        </w:rPr>
        <w:tab/>
        <w:t xml:space="preserve">Borrower breaches the terms of the Lender Commitment and as a result of such breach, Lender is in breach of its obligations under the Freddie Mac Commitment.  </w:t>
      </w:r>
    </w:p>
    <w:bookmarkEnd w:id="1"/>
    <w:p w14:paraId="2E67FE1B" w14:textId="77777777" w:rsidR="00591CA5" w:rsidRPr="00AF408D" w:rsidRDefault="00591CA5" w:rsidP="00591CA5">
      <w:pPr>
        <w:spacing w:after="0"/>
        <w:ind w:left="1440" w:hanging="720"/>
        <w:jc w:val="left"/>
        <w:rPr>
          <w:szCs w:val="20"/>
        </w:rPr>
      </w:pPr>
    </w:p>
    <w:p w14:paraId="668C1518" w14:textId="77777777" w:rsidR="00591CA5" w:rsidRDefault="00591CA5" w:rsidP="00591CA5">
      <w:pPr>
        <w:keepNext/>
        <w:spacing w:after="0"/>
        <w:ind w:left="720" w:hanging="720"/>
        <w:jc w:val="left"/>
        <w:rPr>
          <w:szCs w:val="20"/>
        </w:rPr>
      </w:pPr>
      <w:r w:rsidRPr="00AF408D">
        <w:rPr>
          <w:szCs w:val="20"/>
        </w:rPr>
        <w:t>3</w:t>
      </w:r>
      <w:r w:rsidRPr="00AF408D">
        <w:rPr>
          <w:b/>
          <w:szCs w:val="20"/>
        </w:rPr>
        <w:t>.</w:t>
      </w:r>
      <w:r w:rsidRPr="00AF408D">
        <w:rPr>
          <w:b/>
          <w:szCs w:val="20"/>
        </w:rPr>
        <w:tab/>
      </w:r>
      <w:r w:rsidRPr="00AF408D">
        <w:rPr>
          <w:szCs w:val="20"/>
          <w:u w:val="single"/>
        </w:rPr>
        <w:t>Determination of Breakage Fee</w:t>
      </w:r>
      <w:r>
        <w:rPr>
          <w:szCs w:val="20"/>
          <w:u w:val="single"/>
        </w:rPr>
        <w:t xml:space="preserve">.  </w:t>
      </w:r>
      <w:r w:rsidRPr="00AF408D">
        <w:rPr>
          <w:szCs w:val="20"/>
        </w:rPr>
        <w:t xml:space="preserve">Notwithstanding anything in the </w:t>
      </w:r>
      <w:r w:rsidRPr="00AF408D">
        <w:rPr>
          <w:i/>
          <w:szCs w:val="20"/>
        </w:rPr>
        <w:t>Guide</w:t>
      </w:r>
      <w:r w:rsidRPr="00AF408D">
        <w:rPr>
          <w:szCs w:val="20"/>
        </w:rPr>
        <w:t xml:space="preserve"> to the contrary,</w:t>
      </w:r>
      <w:r>
        <w:rPr>
          <w:szCs w:val="20"/>
        </w:rPr>
        <w:t xml:space="preserve"> the Breakage Fee will be determined as set forth below.  </w:t>
      </w:r>
      <w:bookmarkStart w:id="2" w:name="_Hlk35634606"/>
    </w:p>
    <w:p w14:paraId="271217E8" w14:textId="77777777" w:rsidR="00591CA5" w:rsidRDefault="00591CA5" w:rsidP="00591CA5">
      <w:pPr>
        <w:keepNext/>
        <w:spacing w:after="0"/>
        <w:ind w:left="720"/>
        <w:jc w:val="left"/>
        <w:rPr>
          <w:b/>
          <w:bCs/>
          <w:szCs w:val="20"/>
        </w:rPr>
      </w:pPr>
    </w:p>
    <w:p w14:paraId="7C2BDF1E" w14:textId="77777777" w:rsidR="00591CA5" w:rsidRPr="00AF408D" w:rsidRDefault="00591CA5" w:rsidP="00591CA5">
      <w:pPr>
        <w:keepNext/>
        <w:spacing w:after="0"/>
        <w:ind w:left="1440" w:hanging="720"/>
        <w:jc w:val="left"/>
        <w:rPr>
          <w:szCs w:val="20"/>
        </w:rPr>
      </w:pPr>
      <w:r>
        <w:rPr>
          <w:szCs w:val="20"/>
        </w:rPr>
        <w:t>a</w:t>
      </w:r>
      <w:r>
        <w:rPr>
          <w:i/>
          <w:iCs/>
          <w:szCs w:val="20"/>
        </w:rPr>
        <w:t>.</w:t>
      </w:r>
      <w:r>
        <w:rPr>
          <w:i/>
          <w:iCs/>
          <w:szCs w:val="20"/>
        </w:rPr>
        <w:tab/>
      </w:r>
      <w:r w:rsidRPr="00A80C1E">
        <w:rPr>
          <w:szCs w:val="20"/>
          <w:u w:val="single"/>
        </w:rPr>
        <w:t>Floating Rate Mortgages</w:t>
      </w:r>
      <w:r w:rsidRPr="00134FFD">
        <w:rPr>
          <w:szCs w:val="20"/>
        </w:rPr>
        <w:t>:</w:t>
      </w:r>
      <w:r>
        <w:rPr>
          <w:szCs w:val="20"/>
        </w:rPr>
        <w:t xml:space="preserve">  If the Mortgage that is the subject of this Lender Commitment accrues interest at a floating rate of interest, t</w:t>
      </w:r>
      <w:r w:rsidRPr="00AF408D">
        <w:rPr>
          <w:szCs w:val="20"/>
        </w:rPr>
        <w:t xml:space="preserve">he Breakage Fee will be 1% of the Mortgage </w:t>
      </w:r>
      <w:r>
        <w:rPr>
          <w:szCs w:val="20"/>
        </w:rPr>
        <w:t>a</w:t>
      </w:r>
      <w:r w:rsidRPr="00AF408D">
        <w:rPr>
          <w:szCs w:val="20"/>
        </w:rPr>
        <w:t xml:space="preserve">mount set forth on </w:t>
      </w:r>
      <w:r w:rsidRPr="00AF408D">
        <w:rPr>
          <w:szCs w:val="20"/>
          <w:u w:val="single"/>
        </w:rPr>
        <w:t>Exhibit A</w:t>
      </w:r>
      <w:r w:rsidRPr="00692BD1">
        <w:rPr>
          <w:szCs w:val="20"/>
        </w:rPr>
        <w:t xml:space="preserve"> (“</w:t>
      </w:r>
      <w:r w:rsidRPr="00692BD1">
        <w:rPr>
          <w:b/>
          <w:bCs/>
          <w:szCs w:val="20"/>
        </w:rPr>
        <w:t>Rate Locked Mortgage Amount</w:t>
      </w:r>
      <w:r w:rsidRPr="00692BD1">
        <w:rPr>
          <w:szCs w:val="20"/>
        </w:rPr>
        <w:t>”).</w:t>
      </w:r>
    </w:p>
    <w:p w14:paraId="3A1B78CF" w14:textId="77777777" w:rsidR="00591CA5" w:rsidRPr="00A80C1E" w:rsidRDefault="00591CA5" w:rsidP="00591CA5">
      <w:pPr>
        <w:spacing w:after="0"/>
        <w:jc w:val="left"/>
        <w:rPr>
          <w:szCs w:val="20"/>
        </w:rPr>
      </w:pPr>
    </w:p>
    <w:p w14:paraId="4AF6813A" w14:textId="77777777" w:rsidR="00591CA5" w:rsidRPr="00AF408D" w:rsidRDefault="00591CA5" w:rsidP="00591CA5">
      <w:pPr>
        <w:spacing w:after="0"/>
        <w:ind w:left="1440" w:hanging="720"/>
        <w:jc w:val="left"/>
        <w:rPr>
          <w:szCs w:val="20"/>
        </w:rPr>
      </w:pPr>
      <w:r w:rsidRPr="00A80C1E">
        <w:rPr>
          <w:szCs w:val="20"/>
        </w:rPr>
        <w:t>b.</w:t>
      </w:r>
      <w:r w:rsidRPr="00A80C1E">
        <w:rPr>
          <w:szCs w:val="20"/>
        </w:rPr>
        <w:tab/>
      </w:r>
      <w:r w:rsidRPr="00A80C1E">
        <w:rPr>
          <w:szCs w:val="20"/>
          <w:u w:val="single"/>
        </w:rPr>
        <w:t>Fixed Rate Mortgages</w:t>
      </w:r>
      <w:r>
        <w:rPr>
          <w:szCs w:val="20"/>
        </w:rPr>
        <w:t xml:space="preserve">:  If the Mortgage that is the subject of this Lender Commitment accrues interest at a fixed rate of interest, </w:t>
      </w:r>
      <w:r w:rsidRPr="00AF408D">
        <w:rPr>
          <w:szCs w:val="20"/>
        </w:rPr>
        <w:t>the Breakage Fee will be the greater of (A) or (B) below, but will in no event exceed 3.0% of the Rate Locked Mortgage Amount:</w:t>
      </w:r>
    </w:p>
    <w:p w14:paraId="6DC87AB7" w14:textId="77777777" w:rsidR="00591CA5" w:rsidRPr="00AF408D" w:rsidRDefault="00591CA5" w:rsidP="00591CA5">
      <w:pPr>
        <w:spacing w:after="0"/>
        <w:ind w:left="720" w:hanging="720"/>
        <w:jc w:val="left"/>
        <w:rPr>
          <w:szCs w:val="20"/>
        </w:rPr>
      </w:pPr>
    </w:p>
    <w:p w14:paraId="3F18A6DB" w14:textId="77777777" w:rsidR="00591CA5" w:rsidRPr="00AF408D" w:rsidRDefault="00591CA5" w:rsidP="00591CA5">
      <w:pPr>
        <w:spacing w:after="0"/>
        <w:ind w:left="1440"/>
        <w:jc w:val="left"/>
        <w:rPr>
          <w:szCs w:val="20"/>
        </w:rPr>
      </w:pPr>
      <w:r w:rsidRPr="00AF408D">
        <w:rPr>
          <w:szCs w:val="20"/>
        </w:rPr>
        <w:t>(A)</w:t>
      </w:r>
      <w:r w:rsidRPr="00AF408D">
        <w:rPr>
          <w:szCs w:val="20"/>
        </w:rPr>
        <w:tab/>
        <w:t>0.5% of the Rate Locked Mortgage Amount; or</w:t>
      </w:r>
    </w:p>
    <w:p w14:paraId="2FC5FA73" w14:textId="77777777" w:rsidR="00591CA5" w:rsidRPr="00AF408D" w:rsidRDefault="00591CA5" w:rsidP="00591CA5">
      <w:pPr>
        <w:spacing w:after="0"/>
        <w:ind w:left="1440"/>
        <w:jc w:val="left"/>
        <w:rPr>
          <w:szCs w:val="20"/>
        </w:rPr>
      </w:pPr>
    </w:p>
    <w:p w14:paraId="5925CDEA" w14:textId="77777777" w:rsidR="00591CA5" w:rsidRPr="00AF408D" w:rsidRDefault="00591CA5" w:rsidP="00591CA5">
      <w:pPr>
        <w:spacing w:after="0"/>
        <w:ind w:left="1440"/>
        <w:jc w:val="left"/>
        <w:rPr>
          <w:szCs w:val="20"/>
        </w:rPr>
      </w:pPr>
      <w:r w:rsidRPr="00AF408D">
        <w:rPr>
          <w:szCs w:val="20"/>
        </w:rPr>
        <w:t>(B)</w:t>
      </w:r>
      <w:r w:rsidRPr="00AF408D">
        <w:rPr>
          <w:szCs w:val="20"/>
        </w:rPr>
        <w:tab/>
        <w:t>the product obtained by multiplying:</w:t>
      </w:r>
    </w:p>
    <w:p w14:paraId="1A59766F" w14:textId="77777777" w:rsidR="00591CA5" w:rsidRPr="00AF408D" w:rsidRDefault="00591CA5" w:rsidP="00591CA5">
      <w:pPr>
        <w:spacing w:after="0"/>
        <w:ind w:left="720" w:hanging="720"/>
        <w:jc w:val="left"/>
        <w:rPr>
          <w:szCs w:val="20"/>
        </w:rPr>
      </w:pPr>
    </w:p>
    <w:p w14:paraId="75212D6E" w14:textId="77777777" w:rsidR="00591CA5" w:rsidRPr="00AF408D" w:rsidRDefault="00591CA5" w:rsidP="00591CA5">
      <w:pPr>
        <w:spacing w:after="0"/>
        <w:ind w:left="2160"/>
        <w:jc w:val="left"/>
        <w:rPr>
          <w:szCs w:val="20"/>
        </w:rPr>
      </w:pPr>
      <w:r w:rsidRPr="00AF408D">
        <w:rPr>
          <w:szCs w:val="20"/>
        </w:rPr>
        <w:t>(1)</w:t>
      </w:r>
      <w:r w:rsidRPr="00AF408D">
        <w:rPr>
          <w:szCs w:val="20"/>
        </w:rPr>
        <w:tab/>
        <w:t>the Rate Locked Mortgage Amount</w:t>
      </w:r>
    </w:p>
    <w:p w14:paraId="14D8BC24" w14:textId="77777777" w:rsidR="00591CA5" w:rsidRPr="00AF408D" w:rsidRDefault="00591CA5" w:rsidP="00591CA5">
      <w:pPr>
        <w:spacing w:after="0"/>
        <w:ind w:left="2160"/>
        <w:jc w:val="left"/>
        <w:rPr>
          <w:szCs w:val="20"/>
        </w:rPr>
      </w:pPr>
    </w:p>
    <w:p w14:paraId="59B66933" w14:textId="77777777" w:rsidR="00591CA5" w:rsidRPr="00AF408D" w:rsidRDefault="00591CA5" w:rsidP="00591CA5">
      <w:pPr>
        <w:spacing w:after="0"/>
        <w:ind w:left="2160"/>
        <w:jc w:val="left"/>
        <w:rPr>
          <w:b/>
          <w:i/>
          <w:szCs w:val="20"/>
        </w:rPr>
      </w:pPr>
      <w:r w:rsidRPr="00AF408D">
        <w:rPr>
          <w:b/>
          <w:i/>
          <w:szCs w:val="20"/>
        </w:rPr>
        <w:t>by</w:t>
      </w:r>
    </w:p>
    <w:p w14:paraId="45EEA53D" w14:textId="77777777" w:rsidR="00591CA5" w:rsidRPr="00AF408D" w:rsidRDefault="00591CA5" w:rsidP="00591CA5">
      <w:pPr>
        <w:spacing w:after="0"/>
        <w:ind w:left="2160"/>
        <w:jc w:val="left"/>
        <w:rPr>
          <w:szCs w:val="20"/>
        </w:rPr>
      </w:pPr>
    </w:p>
    <w:p w14:paraId="6F45FB96" w14:textId="77777777" w:rsidR="00591CA5" w:rsidRPr="00AF408D" w:rsidRDefault="00591CA5" w:rsidP="00591CA5">
      <w:pPr>
        <w:spacing w:after="0"/>
        <w:ind w:left="2160"/>
        <w:jc w:val="left"/>
        <w:rPr>
          <w:szCs w:val="20"/>
        </w:rPr>
      </w:pPr>
      <w:r w:rsidRPr="00AF408D">
        <w:rPr>
          <w:szCs w:val="20"/>
        </w:rPr>
        <w:t>(2)</w:t>
      </w:r>
      <w:r w:rsidRPr="00AF408D">
        <w:rPr>
          <w:szCs w:val="20"/>
        </w:rPr>
        <w:tab/>
        <w:t xml:space="preserve">the value obtained by subtracting </w:t>
      </w:r>
    </w:p>
    <w:p w14:paraId="6AD18EF1" w14:textId="77777777" w:rsidR="00591CA5" w:rsidRPr="00AF408D" w:rsidRDefault="00591CA5" w:rsidP="00591CA5">
      <w:pPr>
        <w:spacing w:after="0"/>
        <w:ind w:left="3420" w:hanging="540"/>
        <w:jc w:val="left"/>
        <w:rPr>
          <w:szCs w:val="20"/>
        </w:rPr>
      </w:pPr>
      <w:r w:rsidRPr="00AF408D">
        <w:rPr>
          <w:szCs w:val="20"/>
        </w:rPr>
        <w:t>a.</w:t>
      </w:r>
      <w:r w:rsidRPr="00AF408D">
        <w:rPr>
          <w:szCs w:val="20"/>
        </w:rPr>
        <w:tab/>
        <w:t xml:space="preserve">the Monthly Yield Rate at Breakage </w:t>
      </w:r>
    </w:p>
    <w:p w14:paraId="0465B1A9" w14:textId="77777777" w:rsidR="00591CA5" w:rsidRPr="00AF408D" w:rsidRDefault="00591CA5" w:rsidP="00591CA5">
      <w:pPr>
        <w:spacing w:after="0"/>
        <w:ind w:left="2880"/>
        <w:jc w:val="left"/>
        <w:rPr>
          <w:b/>
          <w:i/>
          <w:szCs w:val="20"/>
        </w:rPr>
      </w:pPr>
    </w:p>
    <w:p w14:paraId="4C5D487B" w14:textId="77777777" w:rsidR="00591CA5" w:rsidRPr="00AF408D" w:rsidRDefault="00591CA5" w:rsidP="00591CA5">
      <w:pPr>
        <w:spacing w:after="0"/>
        <w:ind w:left="2880"/>
        <w:jc w:val="left"/>
        <w:rPr>
          <w:b/>
          <w:i/>
          <w:szCs w:val="20"/>
        </w:rPr>
      </w:pPr>
      <w:r w:rsidRPr="00AF408D">
        <w:rPr>
          <w:b/>
          <w:i/>
          <w:szCs w:val="20"/>
        </w:rPr>
        <w:t>from</w:t>
      </w:r>
    </w:p>
    <w:p w14:paraId="31B27758" w14:textId="77777777" w:rsidR="00591CA5" w:rsidRPr="00AF408D" w:rsidRDefault="00591CA5" w:rsidP="00591CA5">
      <w:pPr>
        <w:spacing w:after="0"/>
        <w:ind w:left="2880"/>
        <w:jc w:val="left"/>
        <w:rPr>
          <w:szCs w:val="20"/>
        </w:rPr>
      </w:pPr>
    </w:p>
    <w:p w14:paraId="26992A96" w14:textId="77777777" w:rsidR="00591CA5" w:rsidRPr="00AF408D" w:rsidRDefault="00591CA5" w:rsidP="00591CA5">
      <w:pPr>
        <w:spacing w:after="0"/>
        <w:ind w:left="3420" w:hanging="540"/>
        <w:jc w:val="left"/>
        <w:rPr>
          <w:szCs w:val="20"/>
        </w:rPr>
      </w:pPr>
      <w:r w:rsidRPr="00AF408D">
        <w:rPr>
          <w:szCs w:val="20"/>
        </w:rPr>
        <w:t>b.</w:t>
      </w:r>
      <w:r w:rsidRPr="00AF408D">
        <w:rPr>
          <w:szCs w:val="20"/>
        </w:rPr>
        <w:tab/>
        <w:t>the Monthly Applicable Yield Rate at Rate Lock</w:t>
      </w:r>
    </w:p>
    <w:p w14:paraId="5D037822" w14:textId="77777777" w:rsidR="00591CA5" w:rsidRPr="00AF408D" w:rsidRDefault="00591CA5" w:rsidP="00591CA5">
      <w:pPr>
        <w:spacing w:after="0"/>
        <w:ind w:left="720"/>
        <w:jc w:val="left"/>
        <w:rPr>
          <w:szCs w:val="20"/>
        </w:rPr>
      </w:pPr>
    </w:p>
    <w:p w14:paraId="6924A0AB" w14:textId="77777777" w:rsidR="00591CA5" w:rsidRPr="00AF408D" w:rsidRDefault="00591CA5" w:rsidP="00591CA5">
      <w:pPr>
        <w:spacing w:after="0"/>
        <w:ind w:left="2160" w:firstLine="720"/>
        <w:jc w:val="left"/>
        <w:rPr>
          <w:b/>
          <w:i/>
          <w:szCs w:val="20"/>
        </w:rPr>
      </w:pPr>
      <w:r w:rsidRPr="00AF408D">
        <w:rPr>
          <w:b/>
          <w:i/>
          <w:szCs w:val="20"/>
        </w:rPr>
        <w:t>by</w:t>
      </w:r>
    </w:p>
    <w:p w14:paraId="3D34A4AD" w14:textId="77777777" w:rsidR="00591CA5" w:rsidRPr="00AF408D" w:rsidRDefault="00591CA5" w:rsidP="00591CA5">
      <w:pPr>
        <w:spacing w:after="0"/>
        <w:ind w:left="1440" w:firstLine="630"/>
        <w:jc w:val="left"/>
        <w:rPr>
          <w:szCs w:val="20"/>
        </w:rPr>
      </w:pPr>
    </w:p>
    <w:p w14:paraId="279E518C" w14:textId="77777777" w:rsidR="00591CA5" w:rsidRPr="00AF408D" w:rsidRDefault="00591CA5" w:rsidP="00591CA5">
      <w:pPr>
        <w:spacing w:after="0"/>
        <w:ind w:left="1440" w:firstLine="630"/>
        <w:jc w:val="left"/>
        <w:rPr>
          <w:szCs w:val="20"/>
        </w:rPr>
      </w:pPr>
      <w:r w:rsidRPr="00AF408D">
        <w:rPr>
          <w:szCs w:val="20"/>
        </w:rPr>
        <w:t>(3)</w:t>
      </w:r>
      <w:r w:rsidRPr="00AF408D">
        <w:rPr>
          <w:szCs w:val="20"/>
        </w:rPr>
        <w:tab/>
        <w:t>the Present Value Factor</w:t>
      </w:r>
    </w:p>
    <w:p w14:paraId="7FAB3362" w14:textId="77777777" w:rsidR="00591CA5" w:rsidRPr="00AF408D" w:rsidRDefault="00591CA5" w:rsidP="00591CA5">
      <w:pPr>
        <w:spacing w:after="0"/>
        <w:ind w:left="720"/>
        <w:jc w:val="left"/>
        <w:rPr>
          <w:szCs w:val="20"/>
        </w:rPr>
      </w:pPr>
    </w:p>
    <w:p w14:paraId="65DF3A66" w14:textId="77777777" w:rsidR="00591CA5" w:rsidRPr="00AF408D" w:rsidRDefault="00591CA5" w:rsidP="00591CA5">
      <w:pPr>
        <w:tabs>
          <w:tab w:val="left" w:pos="1440"/>
        </w:tabs>
        <w:spacing w:after="0"/>
        <w:ind w:left="1440"/>
        <w:jc w:val="left"/>
        <w:rPr>
          <w:szCs w:val="20"/>
        </w:rPr>
      </w:pPr>
      <w:r w:rsidRPr="00AF408D">
        <w:rPr>
          <w:szCs w:val="20"/>
        </w:rPr>
        <w:t>For purposes of this Section the following definitions will apply:</w:t>
      </w:r>
    </w:p>
    <w:p w14:paraId="3FD04860" w14:textId="77777777" w:rsidR="00591CA5" w:rsidRPr="00AF408D" w:rsidRDefault="00591CA5" w:rsidP="00591CA5">
      <w:pPr>
        <w:tabs>
          <w:tab w:val="left" w:pos="1440"/>
        </w:tabs>
        <w:spacing w:after="0"/>
        <w:ind w:left="1440"/>
        <w:jc w:val="left"/>
        <w:rPr>
          <w:szCs w:val="20"/>
        </w:rPr>
      </w:pPr>
    </w:p>
    <w:p w14:paraId="3475653D" w14:textId="77777777" w:rsidR="00591CA5" w:rsidRPr="00AF408D" w:rsidRDefault="00591CA5" w:rsidP="00591CA5">
      <w:pPr>
        <w:tabs>
          <w:tab w:val="left" w:pos="1440"/>
        </w:tabs>
        <w:spacing w:after="0"/>
        <w:ind w:left="1440"/>
        <w:jc w:val="left"/>
        <w:rPr>
          <w:szCs w:val="20"/>
        </w:rPr>
      </w:pPr>
      <w:r w:rsidRPr="00AF408D">
        <w:rPr>
          <w:b/>
          <w:szCs w:val="20"/>
        </w:rPr>
        <w:t>Breakage Date</w:t>
      </w:r>
      <w:r w:rsidRPr="00AF408D">
        <w:rPr>
          <w:szCs w:val="20"/>
        </w:rPr>
        <w:t>:  the earliest to occur of (i) the date the Borrower notifies Lender or Freddie Mac in writing that it will not or cannot originate the Mortgage, (ii) the date Lender notifies Freddie Mac in writing of its inability to deliver the Mortgage, or (iii) the Mandatory Delivery Date</w:t>
      </w:r>
    </w:p>
    <w:p w14:paraId="16B9B140" w14:textId="77777777" w:rsidR="00591CA5" w:rsidRPr="00AF408D" w:rsidRDefault="00591CA5" w:rsidP="00591CA5">
      <w:pPr>
        <w:tabs>
          <w:tab w:val="left" w:pos="1440"/>
        </w:tabs>
        <w:spacing w:after="0"/>
        <w:ind w:left="1440"/>
        <w:jc w:val="left"/>
        <w:rPr>
          <w:szCs w:val="20"/>
        </w:rPr>
      </w:pPr>
    </w:p>
    <w:p w14:paraId="6CD1A0CA" w14:textId="77777777" w:rsidR="00591CA5" w:rsidRPr="00AF408D" w:rsidRDefault="00591CA5" w:rsidP="00591CA5">
      <w:pPr>
        <w:tabs>
          <w:tab w:val="left" w:pos="1440"/>
        </w:tabs>
        <w:spacing w:after="0"/>
        <w:ind w:left="1440"/>
        <w:jc w:val="left"/>
        <w:rPr>
          <w:szCs w:val="20"/>
        </w:rPr>
      </w:pPr>
      <w:r w:rsidRPr="00AF408D">
        <w:rPr>
          <w:b/>
          <w:szCs w:val="20"/>
        </w:rPr>
        <w:t>Rate Locked Mortgage Amount</w:t>
      </w:r>
      <w:r w:rsidRPr="00AF408D">
        <w:rPr>
          <w:szCs w:val="20"/>
        </w:rPr>
        <w:t xml:space="preserve">:  the amount of the Mortgage set forth in </w:t>
      </w:r>
      <w:r w:rsidRPr="00AF408D">
        <w:rPr>
          <w:szCs w:val="20"/>
          <w:u w:val="single"/>
        </w:rPr>
        <w:t>Exhibit A</w:t>
      </w:r>
    </w:p>
    <w:p w14:paraId="41125C98" w14:textId="77777777" w:rsidR="00591CA5" w:rsidRPr="00AF408D" w:rsidRDefault="00591CA5" w:rsidP="00591CA5">
      <w:pPr>
        <w:tabs>
          <w:tab w:val="left" w:pos="1440"/>
        </w:tabs>
        <w:spacing w:after="0"/>
        <w:ind w:left="1440"/>
        <w:jc w:val="left"/>
        <w:rPr>
          <w:szCs w:val="20"/>
        </w:rPr>
      </w:pPr>
    </w:p>
    <w:p w14:paraId="78770CC1" w14:textId="77777777" w:rsidR="00591CA5" w:rsidRPr="00AF408D" w:rsidRDefault="00591CA5" w:rsidP="00591CA5">
      <w:pPr>
        <w:tabs>
          <w:tab w:val="left" w:pos="1440"/>
        </w:tabs>
        <w:spacing w:after="0"/>
        <w:ind w:left="1440"/>
        <w:jc w:val="left"/>
        <w:rPr>
          <w:szCs w:val="20"/>
        </w:rPr>
      </w:pPr>
      <w:r w:rsidRPr="00AF408D">
        <w:rPr>
          <w:b/>
          <w:szCs w:val="20"/>
        </w:rPr>
        <w:t>Yield Rate at Breakage</w:t>
      </w:r>
      <w:r w:rsidRPr="00AF408D">
        <w:rPr>
          <w:szCs w:val="20"/>
        </w:rPr>
        <w:t xml:space="preserve">:  as of the close of the trading session on the Breakage Date, the yield rate with a maturity equal to the term of the Index set forth in </w:t>
      </w:r>
      <w:r w:rsidRPr="00AF408D">
        <w:rPr>
          <w:szCs w:val="20"/>
          <w:u w:val="single"/>
        </w:rPr>
        <w:t>Exhibit A</w:t>
      </w:r>
      <w:r w:rsidRPr="00AF408D">
        <w:rPr>
          <w:szCs w:val="20"/>
        </w:rPr>
        <w:t>, found among the Daily Treasury Yield Curve Rates, commonly known as the Constant Maturity Treasury (CMT) rates, as reported on the U.S. Department of the Treasury website.</w:t>
      </w:r>
    </w:p>
    <w:p w14:paraId="0A314AA4" w14:textId="77777777" w:rsidR="00591CA5" w:rsidRPr="00AF408D" w:rsidRDefault="00591CA5" w:rsidP="00591CA5">
      <w:pPr>
        <w:tabs>
          <w:tab w:val="left" w:pos="1440"/>
        </w:tabs>
        <w:spacing w:after="0"/>
        <w:ind w:left="1440"/>
        <w:jc w:val="left"/>
        <w:rPr>
          <w:szCs w:val="20"/>
        </w:rPr>
      </w:pPr>
    </w:p>
    <w:p w14:paraId="2009393E" w14:textId="77777777" w:rsidR="00591CA5" w:rsidRPr="00AF408D" w:rsidRDefault="00591CA5" w:rsidP="00591CA5">
      <w:pPr>
        <w:tabs>
          <w:tab w:val="left" w:pos="1440"/>
        </w:tabs>
        <w:spacing w:after="0"/>
        <w:ind w:left="1440"/>
        <w:jc w:val="left"/>
        <w:rPr>
          <w:szCs w:val="20"/>
        </w:rPr>
      </w:pPr>
      <w:r w:rsidRPr="00AF408D">
        <w:rPr>
          <w:szCs w:val="20"/>
        </w:rPr>
        <w:t xml:space="preserve">The Yield Rate at Breakage will be expressed as a decimal to two digits. </w:t>
      </w:r>
    </w:p>
    <w:p w14:paraId="1CE5B3D3" w14:textId="77777777" w:rsidR="00591CA5" w:rsidRPr="00AF408D" w:rsidRDefault="00591CA5" w:rsidP="00591CA5">
      <w:pPr>
        <w:tabs>
          <w:tab w:val="left" w:pos="1440"/>
        </w:tabs>
        <w:spacing w:after="0"/>
        <w:ind w:left="1440"/>
        <w:jc w:val="left"/>
        <w:rPr>
          <w:szCs w:val="20"/>
        </w:rPr>
      </w:pPr>
    </w:p>
    <w:p w14:paraId="33307740" w14:textId="77777777" w:rsidR="00591CA5" w:rsidRPr="00AF408D" w:rsidRDefault="00591CA5" w:rsidP="00591CA5">
      <w:pPr>
        <w:tabs>
          <w:tab w:val="left" w:pos="1440"/>
        </w:tabs>
        <w:spacing w:after="0"/>
        <w:ind w:left="1440"/>
        <w:jc w:val="left"/>
        <w:rPr>
          <w:szCs w:val="20"/>
        </w:rPr>
      </w:pPr>
      <w:r w:rsidRPr="00AF408D">
        <w:rPr>
          <w:szCs w:val="20"/>
        </w:rPr>
        <w:t>If no published CMT maturity matches the term of the Index, Freddie Mac will interpolate as a decimal to two digits the yield rate between (i) the CMT with a maturity closest to, but shorter than, the term of the Index, and (ii) the CMT with a maturity closest to, but longer than, the term of the Index, as follows:</w:t>
      </w:r>
    </w:p>
    <w:p w14:paraId="655BA4AB" w14:textId="77777777" w:rsidR="00591CA5" w:rsidRPr="00AF408D" w:rsidRDefault="00591CA5" w:rsidP="00591CA5">
      <w:pPr>
        <w:tabs>
          <w:tab w:val="left" w:pos="1440"/>
        </w:tabs>
        <w:spacing w:after="0"/>
        <w:ind w:left="1440"/>
        <w:jc w:val="left"/>
        <w:rPr>
          <w:szCs w:val="20"/>
        </w:rPr>
      </w:pPr>
    </w:p>
    <w:p w14:paraId="07C92CD6" w14:textId="77777777" w:rsidR="00591CA5" w:rsidRPr="00AF408D" w:rsidRDefault="00591CA5" w:rsidP="00591CA5">
      <w:pPr>
        <w:tabs>
          <w:tab w:val="left" w:pos="1440"/>
        </w:tabs>
        <w:spacing w:after="0"/>
        <w:ind w:left="1440"/>
        <w:jc w:val="left"/>
        <w:rPr>
          <w:szCs w:val="20"/>
        </w:rPr>
      </w:pPr>
      <w:r w:rsidRPr="00AF408D">
        <w:rPr>
          <w:noProof/>
          <w:szCs w:val="20"/>
        </w:rPr>
        <mc:AlternateContent>
          <mc:Choice Requires="wpc">
            <w:drawing>
              <wp:anchor distT="0" distB="0" distL="114300" distR="114300" simplePos="0" relativeHeight="251659264" behindDoc="0" locked="0" layoutInCell="1" allowOverlap="1" wp14:anchorId="26052FB5" wp14:editId="3003EA34">
                <wp:simplePos x="0" y="0"/>
                <wp:positionH relativeFrom="column">
                  <wp:posOffset>956310</wp:posOffset>
                </wp:positionH>
                <wp:positionV relativeFrom="paragraph">
                  <wp:posOffset>34290</wp:posOffset>
                </wp:positionV>
                <wp:extent cx="3760470" cy="626110"/>
                <wp:effectExtent l="3810" t="381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7"/>
                        <wps:cNvSpPr>
                          <a:spLocks noChangeArrowheads="1"/>
                        </wps:cNvSpPr>
                        <wps:spPr bwMode="auto">
                          <a:xfrm>
                            <a:off x="285750" y="10795"/>
                            <a:ext cx="3460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1CFD0" w14:textId="77777777" w:rsidR="00591CA5" w:rsidRDefault="00591CA5" w:rsidP="00591CA5">
                              <w:r>
                                <w:rPr>
                                  <w:rFonts w:ascii="Calibri" w:hAnsi="Calibri" w:cs="Calibri"/>
                                  <w:b/>
                                  <w:bCs/>
                                  <w:color w:val="FF0000"/>
                                  <w:sz w:val="26"/>
                                  <w:szCs w:val="26"/>
                                </w:rPr>
                                <w:t>(B-A)</w:t>
                              </w:r>
                            </w:p>
                          </w:txbxContent>
                        </wps:txbx>
                        <wps:bodyPr rot="0" vert="horz" wrap="none" lIns="0" tIns="0" rIns="0" bIns="0" anchor="t" anchorCtr="0">
                          <a:spAutoFit/>
                        </wps:bodyPr>
                      </wps:wsp>
                      <wps:wsp>
                        <wps:cNvPr id="14" name="Rectangle 18"/>
                        <wps:cNvSpPr>
                          <a:spLocks noChangeArrowheads="1"/>
                        </wps:cNvSpPr>
                        <wps:spPr bwMode="auto">
                          <a:xfrm>
                            <a:off x="285750" y="223520"/>
                            <a:ext cx="3454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3AB8" w14:textId="77777777" w:rsidR="00591CA5" w:rsidRDefault="00591CA5" w:rsidP="00591CA5">
                              <w:r>
                                <w:rPr>
                                  <w:rFonts w:ascii="Calibri" w:hAnsi="Calibri" w:cs="Calibri"/>
                                  <w:b/>
                                  <w:bCs/>
                                  <w:color w:val="FF0000"/>
                                  <w:sz w:val="26"/>
                                  <w:szCs w:val="26"/>
                                </w:rPr>
                                <w:t>(D-C)</w:t>
                              </w:r>
                            </w:p>
                          </w:txbxContent>
                        </wps:txbx>
                        <wps:bodyPr rot="0" vert="horz" wrap="none" lIns="0" tIns="0" rIns="0" bIns="0" anchor="t" anchorCtr="0">
                          <a:spAutoFit/>
                        </wps:bodyPr>
                      </wps:wsp>
                      <wps:wsp>
                        <wps:cNvPr id="15" name="Rectangle 19"/>
                        <wps:cNvSpPr>
                          <a:spLocks noChangeArrowheads="1"/>
                        </wps:cNvSpPr>
                        <wps:spPr bwMode="auto">
                          <a:xfrm>
                            <a:off x="1599565" y="42545"/>
                            <a:ext cx="1397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58E5" w14:textId="77777777" w:rsidR="00591CA5" w:rsidRDefault="00591CA5" w:rsidP="00591CA5">
                              <w:r>
                                <w:rPr>
                                  <w:rFonts w:ascii="Calibri" w:hAnsi="Calibri" w:cs="Calibri"/>
                                  <w:color w:val="FF0000"/>
                                  <w:sz w:val="44"/>
                                  <w:szCs w:val="44"/>
                                </w:rPr>
                                <w:t>+</w:t>
                              </w:r>
                            </w:p>
                          </w:txbxContent>
                        </wps:txbx>
                        <wps:bodyPr rot="0" vert="horz" wrap="none" lIns="0" tIns="0" rIns="0" bIns="0" anchor="t" anchorCtr="0">
                          <a:spAutoFit/>
                        </wps:bodyPr>
                      </wps:wsp>
                      <wps:wsp>
                        <wps:cNvPr id="16" name="Rectangle 20"/>
                        <wps:cNvSpPr>
                          <a:spLocks noChangeArrowheads="1"/>
                        </wps:cNvSpPr>
                        <wps:spPr bwMode="auto">
                          <a:xfrm>
                            <a:off x="1811020" y="106680"/>
                            <a:ext cx="1003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DCAF" w14:textId="77777777" w:rsidR="00591CA5" w:rsidRDefault="00591CA5" w:rsidP="00591CA5">
                              <w:r>
                                <w:rPr>
                                  <w:rFonts w:ascii="Calibri" w:hAnsi="Calibri" w:cs="Calibri"/>
                                  <w:b/>
                                  <w:bCs/>
                                  <w:color w:val="FF0000"/>
                                  <w:sz w:val="26"/>
                                  <w:szCs w:val="26"/>
                                </w:rPr>
                                <w:t>A</w:t>
                              </w:r>
                            </w:p>
                          </w:txbxContent>
                        </wps:txbx>
                        <wps:bodyPr rot="0" vert="horz" wrap="none" lIns="0" tIns="0" rIns="0" bIns="0" anchor="t" anchorCtr="0">
                          <a:spAutoFit/>
                        </wps:bodyPr>
                      </wps:wsp>
                      <wps:wsp>
                        <wps:cNvPr id="17" name="Rectangle 21"/>
                        <wps:cNvSpPr>
                          <a:spLocks noChangeArrowheads="1"/>
                        </wps:cNvSpPr>
                        <wps:spPr bwMode="auto">
                          <a:xfrm>
                            <a:off x="42545" y="10795"/>
                            <a:ext cx="17843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6F6D9" w14:textId="77777777" w:rsidR="00591CA5" w:rsidRDefault="00591CA5" w:rsidP="00591CA5">
                              <w:r>
                                <w:rPr>
                                  <w:rFonts w:ascii="Arial Narrow" w:hAnsi="Arial Narrow" w:cs="Arial Narrow"/>
                                  <w:color w:val="FF0000"/>
                                  <w:sz w:val="56"/>
                                  <w:szCs w:val="56"/>
                                </w:rPr>
                                <w:t>[(</w:t>
                              </w:r>
                            </w:p>
                          </w:txbxContent>
                        </wps:txbx>
                        <wps:bodyPr rot="0" vert="horz" wrap="none" lIns="0" tIns="0" rIns="0" bIns="0" anchor="t" anchorCtr="0">
                          <a:spAutoFit/>
                        </wps:bodyPr>
                      </wps:wsp>
                      <wps:wsp>
                        <wps:cNvPr id="18" name="Rectangle 22"/>
                        <wps:cNvSpPr>
                          <a:spLocks noChangeArrowheads="1"/>
                        </wps:cNvSpPr>
                        <wps:spPr bwMode="auto">
                          <a:xfrm>
                            <a:off x="699135" y="10795"/>
                            <a:ext cx="971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E5B5C" w14:textId="77777777" w:rsidR="00591CA5" w:rsidRDefault="00591CA5" w:rsidP="00591CA5">
                              <w:r>
                                <w:rPr>
                                  <w:rFonts w:ascii="Arial Narrow" w:hAnsi="Arial Narrow" w:cs="Arial Narrow"/>
                                  <w:color w:val="FF0000"/>
                                  <w:sz w:val="56"/>
                                  <w:szCs w:val="56"/>
                                </w:rPr>
                                <w:t>)</w:t>
                              </w:r>
                            </w:p>
                          </w:txbxContent>
                        </wps:txbx>
                        <wps:bodyPr rot="0" vert="horz" wrap="none" lIns="0" tIns="0" rIns="0" bIns="0" anchor="t" anchorCtr="0">
                          <a:spAutoFit/>
                        </wps:bodyPr>
                      </wps:wsp>
                      <wps:wsp>
                        <wps:cNvPr id="19" name="Rectangle 23"/>
                        <wps:cNvSpPr>
                          <a:spLocks noChangeArrowheads="1"/>
                        </wps:cNvSpPr>
                        <wps:spPr bwMode="auto">
                          <a:xfrm>
                            <a:off x="857885" y="42545"/>
                            <a:ext cx="14541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98C0" w14:textId="77777777" w:rsidR="00591CA5" w:rsidRDefault="00591CA5" w:rsidP="00591CA5">
                              <w:r>
                                <w:rPr>
                                  <w:rFonts w:ascii="Calibri" w:hAnsi="Calibri" w:cs="Calibri"/>
                                  <w:color w:val="FF0000"/>
                                  <w:sz w:val="44"/>
                                  <w:szCs w:val="44"/>
                                </w:rPr>
                                <w:t>X</w:t>
                              </w:r>
                            </w:p>
                          </w:txbxContent>
                        </wps:txbx>
                        <wps:bodyPr rot="0" vert="horz" wrap="none" lIns="0" tIns="0" rIns="0" bIns="0" anchor="t" anchorCtr="0">
                          <a:spAutoFit/>
                        </wps:bodyPr>
                      </wps:wsp>
                      <wps:wsp>
                        <wps:cNvPr id="20" name="Rectangle 24"/>
                        <wps:cNvSpPr>
                          <a:spLocks noChangeArrowheads="1"/>
                        </wps:cNvSpPr>
                        <wps:spPr bwMode="auto">
                          <a:xfrm>
                            <a:off x="1080135" y="106680"/>
                            <a:ext cx="321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B5E0" w14:textId="77777777" w:rsidR="00591CA5" w:rsidRPr="00144488" w:rsidRDefault="00591CA5" w:rsidP="00591CA5">
                              <w:r>
                                <w:rPr>
                                  <w:rFonts w:ascii="Calibri" w:hAnsi="Calibri" w:cs="Calibri"/>
                                  <w:b/>
                                  <w:bCs/>
                                  <w:color w:val="FF0000"/>
                                  <w:sz w:val="26"/>
                                  <w:szCs w:val="26"/>
                                </w:rPr>
                                <w:t>(E-C)</w:t>
                              </w:r>
                            </w:p>
                          </w:txbxContent>
                        </wps:txbx>
                        <wps:bodyPr rot="0" vert="horz" wrap="none" lIns="0" tIns="0" rIns="0" bIns="0" anchor="t" anchorCtr="0">
                          <a:spAutoFit/>
                        </wps:bodyPr>
                      </wps:wsp>
                      <wps:wsp>
                        <wps:cNvPr id="21" name="Rectangle 25"/>
                        <wps:cNvSpPr>
                          <a:spLocks noChangeArrowheads="1"/>
                        </wps:cNvSpPr>
                        <wps:spPr bwMode="auto">
                          <a:xfrm>
                            <a:off x="1472565" y="10795"/>
                            <a:ext cx="8128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AA5C" w14:textId="77777777" w:rsidR="00591CA5" w:rsidRDefault="00591CA5" w:rsidP="00591CA5">
                              <w:r>
                                <w:rPr>
                                  <w:rFonts w:ascii="Arial Narrow" w:hAnsi="Arial Narrow" w:cs="Arial Narrow"/>
                                  <w:color w:val="FF0000"/>
                                  <w:sz w:val="56"/>
                                  <w:szCs w:val="56"/>
                                </w:rPr>
                                <w:t>]</w:t>
                              </w:r>
                            </w:p>
                          </w:txbxContent>
                        </wps:txbx>
                        <wps:bodyPr rot="0" vert="horz" wrap="none" lIns="0" tIns="0" rIns="0" bIns="0" anchor="t" anchorCtr="0">
                          <a:spAutoFit/>
                        </wps:bodyPr>
                      </wps:wsp>
                      <wps:wsp>
                        <wps:cNvPr id="22" name="Line 26"/>
                        <wps:cNvCnPr>
                          <a:cxnSpLocks noChangeShapeType="1"/>
                        </wps:cNvCnPr>
                        <wps:spPr bwMode="auto">
                          <a:xfrm>
                            <a:off x="254000" y="212725"/>
                            <a:ext cx="41338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254000" y="212725"/>
                            <a:ext cx="41338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052FB5" id="Canvas 24" o:spid="_x0000_s1026" editas="canvas" style="position:absolute;left:0;text-align:left;margin-left:75.3pt;margin-top:2.7pt;width:296.1pt;height:49.3pt;z-index:251659264" coordsize="37604,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604;height:6261;visibility:visible;mso-wrap-style:square">
                  <v:fill o:detectmouseclick="t"/>
                  <v:path o:connecttype="none"/>
                </v:shape>
                <v:rect id="Rectangle 17" o:spid="_x0000_s1028" style="position:absolute;left:2857;top:107;width:3461;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0D1CFD0" w14:textId="77777777" w:rsidR="00591CA5" w:rsidRDefault="00591CA5" w:rsidP="00591CA5">
                        <w:r>
                          <w:rPr>
                            <w:rFonts w:ascii="Calibri" w:hAnsi="Calibri" w:cs="Calibri"/>
                            <w:b/>
                            <w:bCs/>
                            <w:color w:val="FF0000"/>
                            <w:sz w:val="26"/>
                            <w:szCs w:val="26"/>
                          </w:rPr>
                          <w:t>(B-A)</w:t>
                        </w:r>
                      </w:p>
                    </w:txbxContent>
                  </v:textbox>
                </v:rect>
                <v:rect id="Rectangle 18" o:spid="_x0000_s1029" style="position:absolute;left:2857;top:2235;width:345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B7B3AB8" w14:textId="77777777" w:rsidR="00591CA5" w:rsidRDefault="00591CA5" w:rsidP="00591CA5">
                        <w:r>
                          <w:rPr>
                            <w:rFonts w:ascii="Calibri" w:hAnsi="Calibri" w:cs="Calibri"/>
                            <w:b/>
                            <w:bCs/>
                            <w:color w:val="FF0000"/>
                            <w:sz w:val="26"/>
                            <w:szCs w:val="26"/>
                          </w:rPr>
                          <w:t>(D-C)</w:t>
                        </w:r>
                      </w:p>
                    </w:txbxContent>
                  </v:textbox>
                </v:rect>
                <v:rect id="Rectangle 19" o:spid="_x0000_s1030" style="position:absolute;left:15995;top:425;width:1397;height:4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63858E5" w14:textId="77777777" w:rsidR="00591CA5" w:rsidRDefault="00591CA5" w:rsidP="00591CA5">
                        <w:r>
                          <w:rPr>
                            <w:rFonts w:ascii="Calibri" w:hAnsi="Calibri" w:cs="Calibri"/>
                            <w:color w:val="FF0000"/>
                            <w:sz w:val="44"/>
                            <w:szCs w:val="44"/>
                          </w:rPr>
                          <w:t>+</w:t>
                        </w:r>
                      </w:p>
                    </w:txbxContent>
                  </v:textbox>
                </v:rect>
                <v:rect id="Rectangle 20" o:spid="_x0000_s1031" style="position:absolute;left:18110;top:1066;width:100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BE7DCAF" w14:textId="77777777" w:rsidR="00591CA5" w:rsidRDefault="00591CA5" w:rsidP="00591CA5">
                        <w:r>
                          <w:rPr>
                            <w:rFonts w:ascii="Calibri" w:hAnsi="Calibri" w:cs="Calibri"/>
                            <w:b/>
                            <w:bCs/>
                            <w:color w:val="FF0000"/>
                            <w:sz w:val="26"/>
                            <w:szCs w:val="26"/>
                          </w:rPr>
                          <w:t>A</w:t>
                        </w:r>
                      </w:p>
                    </w:txbxContent>
                  </v:textbox>
                </v:rect>
                <v:rect id="Rectangle 21" o:spid="_x0000_s1032" style="position:absolute;left:425;top:107;width:1784;height:5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266F6D9" w14:textId="77777777" w:rsidR="00591CA5" w:rsidRDefault="00591CA5" w:rsidP="00591CA5">
                        <w:r>
                          <w:rPr>
                            <w:rFonts w:ascii="Arial Narrow" w:hAnsi="Arial Narrow" w:cs="Arial Narrow"/>
                            <w:color w:val="FF0000"/>
                            <w:sz w:val="56"/>
                            <w:szCs w:val="56"/>
                          </w:rPr>
                          <w:t>[(</w:t>
                        </w:r>
                      </w:p>
                    </w:txbxContent>
                  </v:textbox>
                </v:rect>
                <v:rect id="Rectangle 22" o:spid="_x0000_s1033" style="position:absolute;left:6991;top:107;width:971;height:5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7CE5B5C" w14:textId="77777777" w:rsidR="00591CA5" w:rsidRDefault="00591CA5" w:rsidP="00591CA5">
                        <w:r>
                          <w:rPr>
                            <w:rFonts w:ascii="Arial Narrow" w:hAnsi="Arial Narrow" w:cs="Arial Narrow"/>
                            <w:color w:val="FF0000"/>
                            <w:sz w:val="56"/>
                            <w:szCs w:val="56"/>
                          </w:rPr>
                          <w:t>)</w:t>
                        </w:r>
                      </w:p>
                    </w:txbxContent>
                  </v:textbox>
                </v:rect>
                <v:rect id="Rectangle 23" o:spid="_x0000_s1034" style="position:absolute;left:8578;top:425;width:1455;height:4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B1898C0" w14:textId="77777777" w:rsidR="00591CA5" w:rsidRDefault="00591CA5" w:rsidP="00591CA5">
                        <w:r>
                          <w:rPr>
                            <w:rFonts w:ascii="Calibri" w:hAnsi="Calibri" w:cs="Calibri"/>
                            <w:color w:val="FF0000"/>
                            <w:sz w:val="44"/>
                            <w:szCs w:val="44"/>
                          </w:rPr>
                          <w:t>X</w:t>
                        </w:r>
                      </w:p>
                    </w:txbxContent>
                  </v:textbox>
                </v:rect>
                <v:rect id="Rectangle 24" o:spid="_x0000_s1035" style="position:absolute;left:10801;top:1066;width:321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E2B5E0" w14:textId="77777777" w:rsidR="00591CA5" w:rsidRPr="00144488" w:rsidRDefault="00591CA5" w:rsidP="00591CA5">
                        <w:r>
                          <w:rPr>
                            <w:rFonts w:ascii="Calibri" w:hAnsi="Calibri" w:cs="Calibri"/>
                            <w:b/>
                            <w:bCs/>
                            <w:color w:val="FF0000"/>
                            <w:sz w:val="26"/>
                            <w:szCs w:val="26"/>
                          </w:rPr>
                          <w:t>(E-C)</w:t>
                        </w:r>
                      </w:p>
                    </w:txbxContent>
                  </v:textbox>
                </v:rect>
                <v:rect id="Rectangle 25" o:spid="_x0000_s1036" style="position:absolute;left:14725;top:107;width:813;height:5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F5AAA5C" w14:textId="77777777" w:rsidR="00591CA5" w:rsidRDefault="00591CA5" w:rsidP="00591CA5">
                        <w:r>
                          <w:rPr>
                            <w:rFonts w:ascii="Arial Narrow" w:hAnsi="Arial Narrow" w:cs="Arial Narrow"/>
                            <w:color w:val="FF0000"/>
                            <w:sz w:val="56"/>
                            <w:szCs w:val="56"/>
                          </w:rPr>
                          <w:t>]</w:t>
                        </w:r>
                      </w:p>
                    </w:txbxContent>
                  </v:textbox>
                </v:rect>
                <v:line id="Line 26" o:spid="_x0000_s1037" style="position:absolute;visibility:visible;mso-wrap-style:square" from="2540,2127" to="6673,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" strokecolor="red" strokeweight="0"/>
                <v:rect id="Rectangle 27" o:spid="_x0000_s1038" style="position:absolute;left:2540;top:2127;width:413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" fillcolor="red" stroked="f"/>
              </v:group>
            </w:pict>
          </mc:Fallback>
        </mc:AlternateContent>
      </w:r>
    </w:p>
    <w:p w14:paraId="4BC9B2C2" w14:textId="77777777" w:rsidR="00591CA5" w:rsidRPr="00AF408D" w:rsidRDefault="00591CA5" w:rsidP="00591CA5">
      <w:pPr>
        <w:tabs>
          <w:tab w:val="left" w:pos="1440"/>
        </w:tabs>
        <w:spacing w:after="0"/>
        <w:ind w:left="1440"/>
        <w:jc w:val="left"/>
        <w:rPr>
          <w:szCs w:val="20"/>
        </w:rPr>
      </w:pPr>
    </w:p>
    <w:p w14:paraId="13DB8BFA" w14:textId="77777777" w:rsidR="00591CA5" w:rsidRPr="00AF408D" w:rsidRDefault="00591CA5" w:rsidP="00591CA5">
      <w:pPr>
        <w:tabs>
          <w:tab w:val="left" w:pos="1440"/>
        </w:tabs>
        <w:spacing w:after="0"/>
        <w:ind w:left="1440"/>
        <w:jc w:val="left"/>
        <w:rPr>
          <w:szCs w:val="20"/>
        </w:rPr>
      </w:pPr>
    </w:p>
    <w:p w14:paraId="6895C4F1" w14:textId="77777777" w:rsidR="00591CA5" w:rsidRPr="00AF408D" w:rsidRDefault="00591CA5" w:rsidP="00591CA5">
      <w:pPr>
        <w:tabs>
          <w:tab w:val="left" w:pos="1440"/>
        </w:tabs>
        <w:spacing w:after="0"/>
        <w:jc w:val="left"/>
        <w:rPr>
          <w:szCs w:val="20"/>
        </w:rPr>
      </w:pPr>
    </w:p>
    <w:p w14:paraId="54B14A8F" w14:textId="77777777" w:rsidR="00591CA5" w:rsidRPr="00AF408D" w:rsidRDefault="00591CA5" w:rsidP="00591CA5">
      <w:pPr>
        <w:tabs>
          <w:tab w:val="left" w:pos="2160"/>
        </w:tabs>
        <w:spacing w:after="0"/>
        <w:ind w:left="2160" w:hanging="720"/>
        <w:jc w:val="left"/>
        <w:rPr>
          <w:szCs w:val="20"/>
        </w:rPr>
      </w:pPr>
      <w:r w:rsidRPr="00AF408D">
        <w:rPr>
          <w:szCs w:val="20"/>
        </w:rPr>
        <w:t>A =</w:t>
      </w:r>
      <w:r w:rsidRPr="00AF408D">
        <w:rPr>
          <w:szCs w:val="20"/>
        </w:rPr>
        <w:tab/>
        <w:t>yield rate for the CMT with a maturity shorter than the term of the Index</w:t>
      </w:r>
    </w:p>
    <w:p w14:paraId="30863734" w14:textId="77777777" w:rsidR="00591CA5" w:rsidRPr="00AF408D" w:rsidRDefault="00591CA5" w:rsidP="00591CA5">
      <w:pPr>
        <w:tabs>
          <w:tab w:val="left" w:pos="2160"/>
        </w:tabs>
        <w:spacing w:after="0"/>
        <w:ind w:left="2160" w:hanging="720"/>
        <w:jc w:val="left"/>
        <w:rPr>
          <w:szCs w:val="20"/>
        </w:rPr>
      </w:pPr>
      <w:r w:rsidRPr="00AF408D">
        <w:rPr>
          <w:szCs w:val="20"/>
        </w:rPr>
        <w:t>B =</w:t>
      </w:r>
      <w:r w:rsidRPr="00AF408D">
        <w:rPr>
          <w:szCs w:val="20"/>
        </w:rPr>
        <w:tab/>
        <w:t>yield rate for the CMT with a maturity longer than the term of the Index</w:t>
      </w:r>
    </w:p>
    <w:p w14:paraId="280084E8" w14:textId="77777777" w:rsidR="00591CA5" w:rsidRPr="00AF408D" w:rsidRDefault="00591CA5" w:rsidP="00591CA5">
      <w:pPr>
        <w:tabs>
          <w:tab w:val="left" w:pos="2160"/>
        </w:tabs>
        <w:spacing w:after="0"/>
        <w:ind w:left="2160" w:hanging="720"/>
        <w:jc w:val="left"/>
        <w:rPr>
          <w:szCs w:val="20"/>
        </w:rPr>
      </w:pPr>
      <w:r w:rsidRPr="00AF408D">
        <w:rPr>
          <w:szCs w:val="20"/>
        </w:rPr>
        <w:t>C =</w:t>
      </w:r>
      <w:r w:rsidRPr="00AF408D">
        <w:rPr>
          <w:szCs w:val="20"/>
        </w:rPr>
        <w:tab/>
        <w:t>number of months to maturity for the CMT maturity shorter than the term of the Index</w:t>
      </w:r>
    </w:p>
    <w:p w14:paraId="36F788E8" w14:textId="77777777" w:rsidR="00591CA5" w:rsidRPr="00AF408D" w:rsidRDefault="00591CA5" w:rsidP="00591CA5">
      <w:pPr>
        <w:tabs>
          <w:tab w:val="left" w:pos="2160"/>
        </w:tabs>
        <w:spacing w:after="0"/>
        <w:ind w:left="2160" w:hanging="720"/>
        <w:jc w:val="left"/>
        <w:rPr>
          <w:szCs w:val="20"/>
        </w:rPr>
      </w:pPr>
      <w:r w:rsidRPr="00AF408D">
        <w:rPr>
          <w:szCs w:val="20"/>
        </w:rPr>
        <w:t>D =</w:t>
      </w:r>
      <w:r w:rsidRPr="00AF408D">
        <w:rPr>
          <w:szCs w:val="20"/>
        </w:rPr>
        <w:tab/>
        <w:t>number of months to maturity for the CMT maturity longer than the term of the Index</w:t>
      </w:r>
    </w:p>
    <w:p w14:paraId="514BF0D7" w14:textId="77777777" w:rsidR="00591CA5" w:rsidRPr="00AF408D" w:rsidRDefault="00591CA5" w:rsidP="00591CA5">
      <w:pPr>
        <w:tabs>
          <w:tab w:val="left" w:pos="2160"/>
        </w:tabs>
        <w:spacing w:after="0"/>
        <w:ind w:left="2160" w:hanging="720"/>
        <w:jc w:val="left"/>
        <w:rPr>
          <w:szCs w:val="20"/>
        </w:rPr>
      </w:pPr>
      <w:r w:rsidRPr="00AF408D">
        <w:rPr>
          <w:szCs w:val="20"/>
        </w:rPr>
        <w:t>E =</w:t>
      </w:r>
      <w:r w:rsidRPr="00AF408D">
        <w:rPr>
          <w:szCs w:val="20"/>
        </w:rPr>
        <w:tab/>
        <w:t>number of months in the term of the Index</w:t>
      </w:r>
    </w:p>
    <w:p w14:paraId="696349A9" w14:textId="77777777" w:rsidR="00591CA5" w:rsidRPr="00AF408D" w:rsidRDefault="00591CA5" w:rsidP="00591CA5">
      <w:pPr>
        <w:tabs>
          <w:tab w:val="left" w:pos="1440"/>
        </w:tabs>
        <w:spacing w:after="0"/>
        <w:ind w:left="1440"/>
        <w:jc w:val="left"/>
        <w:rPr>
          <w:szCs w:val="20"/>
        </w:rPr>
      </w:pPr>
    </w:p>
    <w:p w14:paraId="210DC544" w14:textId="77777777" w:rsidR="00591CA5" w:rsidRPr="00AF408D" w:rsidRDefault="00591CA5" w:rsidP="00591CA5">
      <w:pPr>
        <w:tabs>
          <w:tab w:val="left" w:pos="1440"/>
        </w:tabs>
        <w:spacing w:after="0"/>
        <w:ind w:left="1440"/>
        <w:jc w:val="left"/>
        <w:rPr>
          <w:szCs w:val="20"/>
        </w:rPr>
      </w:pPr>
      <w:r w:rsidRPr="00AF408D">
        <w:rPr>
          <w:szCs w:val="20"/>
        </w:rPr>
        <w:t>In the event the U.S. Department of the Treasury ceases publication of the CMT rates, the Yield Rate at Breakage will equal the yield rate on the U.S Treasury security which is not callable or indexed to inflation and which has a maturity closest to (but not shorter than) the term of the Index.</w:t>
      </w:r>
    </w:p>
    <w:p w14:paraId="2855989F" w14:textId="77777777" w:rsidR="00591CA5" w:rsidRPr="00AF408D" w:rsidRDefault="00591CA5" w:rsidP="00591CA5">
      <w:pPr>
        <w:tabs>
          <w:tab w:val="left" w:pos="1440"/>
        </w:tabs>
        <w:spacing w:after="0"/>
        <w:ind w:left="1440"/>
        <w:jc w:val="left"/>
        <w:rPr>
          <w:szCs w:val="20"/>
        </w:rPr>
      </w:pPr>
    </w:p>
    <w:p w14:paraId="76CCDA35" w14:textId="77777777" w:rsidR="00591CA5" w:rsidRPr="00AF408D" w:rsidRDefault="00591CA5" w:rsidP="00591CA5">
      <w:pPr>
        <w:tabs>
          <w:tab w:val="left" w:pos="1440"/>
        </w:tabs>
        <w:spacing w:after="0"/>
        <w:ind w:left="1440"/>
        <w:jc w:val="left"/>
        <w:rPr>
          <w:szCs w:val="20"/>
        </w:rPr>
      </w:pPr>
      <w:r w:rsidRPr="00AF408D">
        <w:rPr>
          <w:szCs w:val="20"/>
        </w:rPr>
        <w:t>The selection of an alternate security pursuant to this Section will be made in Freddie Mac’s discretion.</w:t>
      </w:r>
    </w:p>
    <w:p w14:paraId="2BDC2A47" w14:textId="77777777" w:rsidR="00591CA5" w:rsidRPr="00AF408D" w:rsidRDefault="00591CA5" w:rsidP="00591CA5">
      <w:pPr>
        <w:tabs>
          <w:tab w:val="left" w:pos="1440"/>
        </w:tabs>
        <w:spacing w:after="0"/>
        <w:ind w:left="1440"/>
        <w:jc w:val="left"/>
        <w:rPr>
          <w:szCs w:val="20"/>
        </w:rPr>
      </w:pPr>
    </w:p>
    <w:p w14:paraId="384EA58F" w14:textId="77777777" w:rsidR="00591CA5" w:rsidRPr="00AF408D" w:rsidRDefault="00591CA5" w:rsidP="00591CA5">
      <w:pPr>
        <w:tabs>
          <w:tab w:val="left" w:pos="1440"/>
        </w:tabs>
        <w:spacing w:after="0"/>
        <w:ind w:left="1440"/>
        <w:jc w:val="left"/>
        <w:rPr>
          <w:szCs w:val="20"/>
        </w:rPr>
      </w:pPr>
      <w:r w:rsidRPr="00AF408D">
        <w:rPr>
          <w:b/>
          <w:szCs w:val="20"/>
        </w:rPr>
        <w:lastRenderedPageBreak/>
        <w:t>Monthly Yield Rate at Breakage</w:t>
      </w:r>
      <w:r w:rsidRPr="00AF408D">
        <w:rPr>
          <w:szCs w:val="20"/>
        </w:rPr>
        <w:t xml:space="preserve">:  </w:t>
      </w:r>
      <w:proofErr w:type="gramStart"/>
      <w:r w:rsidRPr="00AF408D">
        <w:rPr>
          <w:szCs w:val="20"/>
        </w:rPr>
        <w:t>the</w:t>
      </w:r>
      <w:proofErr w:type="gramEnd"/>
      <w:r w:rsidRPr="00AF408D">
        <w:rPr>
          <w:szCs w:val="20"/>
        </w:rPr>
        <w:t xml:space="preserve"> Yield Rate at Breakage divided by 12</w:t>
      </w:r>
    </w:p>
    <w:p w14:paraId="3C322888" w14:textId="77777777" w:rsidR="00591CA5" w:rsidRPr="007D7A36" w:rsidRDefault="00591CA5" w:rsidP="00591CA5">
      <w:pPr>
        <w:tabs>
          <w:tab w:val="left" w:pos="1440"/>
        </w:tabs>
        <w:spacing w:after="0"/>
        <w:jc w:val="left"/>
        <w:rPr>
          <w:b/>
          <w:szCs w:val="20"/>
        </w:rPr>
      </w:pPr>
    </w:p>
    <w:p w14:paraId="6B49AB1E" w14:textId="77777777" w:rsidR="00591CA5" w:rsidRDefault="00591CA5" w:rsidP="00591CA5">
      <w:pPr>
        <w:tabs>
          <w:tab w:val="left" w:pos="1440"/>
        </w:tabs>
        <w:spacing w:after="0"/>
        <w:ind w:left="1440"/>
        <w:jc w:val="left"/>
        <w:rPr>
          <w:b/>
          <w:szCs w:val="20"/>
        </w:rPr>
      </w:pPr>
      <w:r w:rsidRPr="00AF408D">
        <w:rPr>
          <w:b/>
          <w:szCs w:val="20"/>
        </w:rPr>
        <w:t>Applicable Yield Rate at Rate Lock:</w:t>
      </w:r>
      <w:r>
        <w:rPr>
          <w:b/>
          <w:szCs w:val="20"/>
        </w:rPr>
        <w:t xml:space="preserve"> </w:t>
      </w:r>
    </w:p>
    <w:p w14:paraId="04368335" w14:textId="77777777" w:rsidR="00591CA5" w:rsidRDefault="00591CA5" w:rsidP="00591CA5">
      <w:pPr>
        <w:tabs>
          <w:tab w:val="left" w:pos="1440"/>
        </w:tabs>
        <w:spacing w:after="0"/>
        <w:ind w:left="1440"/>
        <w:jc w:val="left"/>
        <w:rPr>
          <w:b/>
          <w:szCs w:val="20"/>
        </w:rPr>
      </w:pPr>
    </w:p>
    <w:p w14:paraId="3A542B8C" w14:textId="77777777" w:rsidR="00591CA5" w:rsidRPr="00AF408D" w:rsidRDefault="00591CA5" w:rsidP="00591CA5">
      <w:pPr>
        <w:tabs>
          <w:tab w:val="left" w:pos="1440"/>
        </w:tabs>
        <w:spacing w:after="0"/>
        <w:ind w:left="2160" w:hanging="720"/>
        <w:jc w:val="left"/>
        <w:rPr>
          <w:b/>
          <w:szCs w:val="20"/>
        </w:rPr>
      </w:pPr>
      <w:r w:rsidRPr="00B52C0B">
        <w:rPr>
          <w:bCs/>
          <w:szCs w:val="20"/>
        </w:rPr>
        <w:t>(1)</w:t>
      </w:r>
      <w:r>
        <w:rPr>
          <w:b/>
          <w:szCs w:val="20"/>
        </w:rPr>
        <w:tab/>
      </w:r>
      <w:r w:rsidRPr="00134FFD">
        <w:rPr>
          <w:bCs/>
          <w:szCs w:val="20"/>
        </w:rPr>
        <w:t xml:space="preserve">For any Mortgage </w:t>
      </w:r>
      <w:r>
        <w:rPr>
          <w:bCs/>
          <w:szCs w:val="20"/>
        </w:rPr>
        <w:t xml:space="preserve">for which there was </w:t>
      </w:r>
      <w:r w:rsidRPr="00134FFD">
        <w:rPr>
          <w:b/>
          <w:bCs/>
          <w:u w:val="single"/>
        </w:rPr>
        <w:t>not</w:t>
      </w:r>
      <w:r>
        <w:t xml:space="preserve"> </w:t>
      </w:r>
      <w:r w:rsidRPr="00134FFD">
        <w:t>a</w:t>
      </w:r>
      <w:r>
        <w:rPr>
          <w:bCs/>
          <w:szCs w:val="20"/>
        </w:rPr>
        <w:t xml:space="preserve">n </w:t>
      </w:r>
      <w:r w:rsidRPr="00134FFD">
        <w:rPr>
          <w:bCs/>
          <w:szCs w:val="20"/>
        </w:rPr>
        <w:t>Index Lock</w:t>
      </w:r>
      <w:r>
        <w:rPr>
          <w:bCs/>
          <w:szCs w:val="20"/>
        </w:rPr>
        <w:t xml:space="preserve"> (as indicated in </w:t>
      </w:r>
      <w:r w:rsidRPr="00A14C7B">
        <w:rPr>
          <w:bCs/>
          <w:szCs w:val="20"/>
          <w:u w:val="single"/>
        </w:rPr>
        <w:t>Exhibit A</w:t>
      </w:r>
      <w:r>
        <w:rPr>
          <w:bCs/>
          <w:szCs w:val="20"/>
        </w:rPr>
        <w:t>)</w:t>
      </w:r>
      <w:r w:rsidRPr="00134FFD">
        <w:rPr>
          <w:bCs/>
          <w:szCs w:val="20"/>
        </w:rPr>
        <w:t>,</w:t>
      </w:r>
      <w:r>
        <w:rPr>
          <w:bCs/>
          <w:szCs w:val="20"/>
        </w:rPr>
        <w:t xml:space="preserve"> the “</w:t>
      </w:r>
      <w:r w:rsidRPr="00B52C0B">
        <w:rPr>
          <w:b/>
          <w:szCs w:val="20"/>
        </w:rPr>
        <w:t>Applicable Yield Rate at Rate Lock</w:t>
      </w:r>
      <w:r>
        <w:rPr>
          <w:bCs/>
          <w:szCs w:val="20"/>
        </w:rPr>
        <w:t xml:space="preserve">” is </w:t>
      </w:r>
      <w:r w:rsidRPr="00AF408D">
        <w:rPr>
          <w:szCs w:val="20"/>
        </w:rPr>
        <w:t xml:space="preserve">the “Actual Index Rate at Rate Lock” set forth in </w:t>
      </w:r>
      <w:r w:rsidRPr="00AF408D">
        <w:rPr>
          <w:szCs w:val="20"/>
          <w:u w:val="single"/>
        </w:rPr>
        <w:t>Exhibit A</w:t>
      </w:r>
      <w:r w:rsidRPr="00AF408D">
        <w:rPr>
          <w:szCs w:val="20"/>
        </w:rPr>
        <w:t xml:space="preserve">.  </w:t>
      </w:r>
    </w:p>
    <w:p w14:paraId="4A17628A" w14:textId="77777777" w:rsidR="00591CA5" w:rsidRPr="00AF408D" w:rsidRDefault="00591CA5" w:rsidP="00591CA5">
      <w:pPr>
        <w:tabs>
          <w:tab w:val="left" w:pos="1440"/>
        </w:tabs>
        <w:spacing w:after="0"/>
        <w:ind w:left="2160" w:hanging="720"/>
        <w:jc w:val="left"/>
        <w:rPr>
          <w:szCs w:val="20"/>
        </w:rPr>
      </w:pPr>
    </w:p>
    <w:p w14:paraId="7E2C2950" w14:textId="77777777" w:rsidR="00591CA5" w:rsidRPr="00AF408D" w:rsidRDefault="00591CA5" w:rsidP="00591CA5">
      <w:pPr>
        <w:tabs>
          <w:tab w:val="left" w:pos="1440"/>
        </w:tabs>
        <w:spacing w:after="0"/>
        <w:ind w:left="2160" w:hanging="720"/>
        <w:jc w:val="left"/>
        <w:rPr>
          <w:b/>
          <w:szCs w:val="20"/>
        </w:rPr>
      </w:pPr>
      <w:r>
        <w:rPr>
          <w:bCs/>
          <w:szCs w:val="20"/>
        </w:rPr>
        <w:t xml:space="preserve">(2) </w:t>
      </w:r>
      <w:r>
        <w:rPr>
          <w:bCs/>
          <w:szCs w:val="20"/>
        </w:rPr>
        <w:tab/>
      </w:r>
      <w:r w:rsidRPr="00134FFD">
        <w:rPr>
          <w:bCs/>
          <w:szCs w:val="20"/>
        </w:rPr>
        <w:t xml:space="preserve">For any Mortgage </w:t>
      </w:r>
      <w:r>
        <w:rPr>
          <w:bCs/>
          <w:szCs w:val="20"/>
        </w:rPr>
        <w:t xml:space="preserve">for which there </w:t>
      </w:r>
      <w:r w:rsidRPr="00134FFD">
        <w:rPr>
          <w:b/>
          <w:bCs/>
          <w:u w:val="single"/>
        </w:rPr>
        <w:t>was</w:t>
      </w:r>
      <w:r>
        <w:t xml:space="preserve"> </w:t>
      </w:r>
      <w:r w:rsidRPr="00134FFD">
        <w:t>a</w:t>
      </w:r>
      <w:r>
        <w:t>n</w:t>
      </w:r>
      <w:r w:rsidRPr="00134FFD">
        <w:rPr>
          <w:bCs/>
          <w:szCs w:val="20"/>
        </w:rPr>
        <w:t xml:space="preserve"> Index Lock</w:t>
      </w:r>
      <w:r>
        <w:rPr>
          <w:bCs/>
          <w:szCs w:val="20"/>
        </w:rPr>
        <w:t xml:space="preserve"> (as indicated in </w:t>
      </w:r>
      <w:r w:rsidRPr="009F3A16">
        <w:rPr>
          <w:bCs/>
          <w:szCs w:val="20"/>
          <w:u w:val="single"/>
        </w:rPr>
        <w:t>Exhibit A</w:t>
      </w:r>
      <w:r>
        <w:rPr>
          <w:bCs/>
          <w:szCs w:val="20"/>
        </w:rPr>
        <w:t xml:space="preserve">), </w:t>
      </w:r>
      <w:r>
        <w:rPr>
          <w:szCs w:val="20"/>
        </w:rPr>
        <w:t>t</w:t>
      </w:r>
      <w:r w:rsidRPr="00AF408D">
        <w:rPr>
          <w:szCs w:val="20"/>
        </w:rPr>
        <w:t>he “</w:t>
      </w:r>
      <w:r w:rsidRPr="00AF408D">
        <w:rPr>
          <w:b/>
          <w:szCs w:val="20"/>
        </w:rPr>
        <w:t>Applicable Yield Rate at Rate Lock</w:t>
      </w:r>
      <w:r w:rsidRPr="00AF408D">
        <w:rPr>
          <w:szCs w:val="20"/>
        </w:rPr>
        <w:t xml:space="preserve">” </w:t>
      </w:r>
      <w:r>
        <w:rPr>
          <w:szCs w:val="20"/>
        </w:rPr>
        <w:t xml:space="preserve">is </w:t>
      </w:r>
      <w:r w:rsidRPr="00AF408D">
        <w:rPr>
          <w:szCs w:val="20"/>
        </w:rPr>
        <w:t xml:space="preserve">the “Yield on Index at Index Lock” set forth in </w:t>
      </w:r>
      <w:r w:rsidRPr="00635A76">
        <w:rPr>
          <w:szCs w:val="20"/>
          <w:u w:val="single"/>
        </w:rPr>
        <w:t>Exhibit A</w:t>
      </w:r>
      <w:r w:rsidRPr="00AF408D">
        <w:rPr>
          <w:szCs w:val="20"/>
        </w:rPr>
        <w:t xml:space="preserve"> to the Index Lock Agreement</w:t>
      </w:r>
      <w:r>
        <w:rPr>
          <w:szCs w:val="20"/>
        </w:rPr>
        <w:t xml:space="preserve"> with respect to the Index-Locked Portion, and, w</w:t>
      </w:r>
      <w:r w:rsidRPr="00AF408D">
        <w:rPr>
          <w:szCs w:val="20"/>
        </w:rPr>
        <w:t>ith respect to the Non Index-Locked Portion (if any)</w:t>
      </w:r>
      <w:r>
        <w:rPr>
          <w:szCs w:val="20"/>
        </w:rPr>
        <w:t xml:space="preserve"> </w:t>
      </w:r>
      <w:r w:rsidRPr="00AF408D">
        <w:rPr>
          <w:szCs w:val="20"/>
        </w:rPr>
        <w:t>the “</w:t>
      </w:r>
      <w:r w:rsidRPr="00AF408D">
        <w:rPr>
          <w:b/>
          <w:szCs w:val="20"/>
        </w:rPr>
        <w:t>Applicable Yield Rate at Rate Lock</w:t>
      </w:r>
      <w:r w:rsidRPr="00AF408D">
        <w:rPr>
          <w:szCs w:val="20"/>
        </w:rPr>
        <w:t xml:space="preserve">” will be the “Actual Index Rate at Rate Lock” set forth in </w:t>
      </w:r>
      <w:r w:rsidRPr="00AF408D">
        <w:rPr>
          <w:szCs w:val="20"/>
          <w:u w:val="single"/>
        </w:rPr>
        <w:t>Exhibit A</w:t>
      </w:r>
      <w:r>
        <w:rPr>
          <w:szCs w:val="20"/>
        </w:rPr>
        <w:t xml:space="preserve">.  </w:t>
      </w:r>
    </w:p>
    <w:p w14:paraId="7F39D274" w14:textId="77777777" w:rsidR="00591CA5" w:rsidRPr="00AF408D" w:rsidRDefault="00591CA5" w:rsidP="00591CA5">
      <w:pPr>
        <w:tabs>
          <w:tab w:val="left" w:pos="1440"/>
        </w:tabs>
        <w:spacing w:after="0"/>
        <w:ind w:left="1440"/>
        <w:jc w:val="left"/>
        <w:rPr>
          <w:b/>
          <w:szCs w:val="20"/>
        </w:rPr>
      </w:pPr>
    </w:p>
    <w:p w14:paraId="684B97A9" w14:textId="77777777" w:rsidR="00591CA5" w:rsidRPr="00AF408D" w:rsidRDefault="00591CA5" w:rsidP="00591CA5">
      <w:pPr>
        <w:tabs>
          <w:tab w:val="left" w:pos="1440"/>
        </w:tabs>
        <w:spacing w:after="0"/>
        <w:ind w:left="1440"/>
        <w:jc w:val="left"/>
        <w:rPr>
          <w:szCs w:val="20"/>
        </w:rPr>
      </w:pPr>
      <w:r w:rsidRPr="00AF408D">
        <w:rPr>
          <w:b/>
          <w:szCs w:val="20"/>
        </w:rPr>
        <w:t xml:space="preserve">Monthly Applicable Yield Rate at Rate Lock:  </w:t>
      </w:r>
      <w:proofErr w:type="gramStart"/>
      <w:r w:rsidRPr="00AF408D">
        <w:rPr>
          <w:szCs w:val="20"/>
        </w:rPr>
        <w:t>the</w:t>
      </w:r>
      <w:proofErr w:type="gramEnd"/>
      <w:r w:rsidRPr="00AF408D">
        <w:rPr>
          <w:szCs w:val="20"/>
        </w:rPr>
        <w:t xml:space="preserve"> Applicable Yield Rate at Rate Lock divided by 12</w:t>
      </w:r>
    </w:p>
    <w:p w14:paraId="37062169" w14:textId="77777777" w:rsidR="00591CA5" w:rsidRPr="00AF408D" w:rsidRDefault="00591CA5" w:rsidP="00591CA5">
      <w:pPr>
        <w:tabs>
          <w:tab w:val="left" w:pos="1440"/>
        </w:tabs>
        <w:spacing w:after="0"/>
        <w:ind w:left="1440"/>
        <w:jc w:val="left"/>
        <w:rPr>
          <w:szCs w:val="20"/>
        </w:rPr>
      </w:pPr>
    </w:p>
    <w:p w14:paraId="013C8C05" w14:textId="77777777" w:rsidR="00591CA5" w:rsidRPr="00AF408D" w:rsidRDefault="00591CA5" w:rsidP="00591CA5">
      <w:pPr>
        <w:tabs>
          <w:tab w:val="left" w:pos="1440"/>
        </w:tabs>
        <w:spacing w:after="0"/>
        <w:ind w:left="1440"/>
        <w:jc w:val="left"/>
        <w:rPr>
          <w:szCs w:val="20"/>
        </w:rPr>
      </w:pPr>
      <w:r w:rsidRPr="00AF408D">
        <w:rPr>
          <w:b/>
          <w:szCs w:val="20"/>
        </w:rPr>
        <w:t>Present Value Factor</w:t>
      </w:r>
      <w:r w:rsidRPr="00AF408D">
        <w:rPr>
          <w:szCs w:val="20"/>
        </w:rPr>
        <w:t>:  the factor that discounts to present value the costs resulting to Freddie Mac from the difference in the Applicable Yield Rate at Rate Lock and the Yield Rate at Breakage calculated using the following formula:</w:t>
      </w:r>
    </w:p>
    <w:p w14:paraId="0AD44B40" w14:textId="77777777" w:rsidR="00591CA5" w:rsidRPr="00AF408D" w:rsidRDefault="00591CA5" w:rsidP="00591CA5">
      <w:pPr>
        <w:tabs>
          <w:tab w:val="left" w:pos="1440"/>
        </w:tabs>
        <w:spacing w:after="0"/>
        <w:ind w:left="1440"/>
        <w:jc w:val="left"/>
        <w:rPr>
          <w:szCs w:val="20"/>
        </w:rPr>
      </w:pPr>
    </w:p>
    <w:p w14:paraId="0D5788E8" w14:textId="77777777" w:rsidR="00591CA5" w:rsidRPr="00AF408D" w:rsidRDefault="00591CA5" w:rsidP="00591CA5">
      <w:pPr>
        <w:tabs>
          <w:tab w:val="left" w:pos="1440"/>
          <w:tab w:val="center" w:pos="2340"/>
        </w:tabs>
        <w:spacing w:after="0"/>
        <w:ind w:left="1440" w:right="5400"/>
        <w:jc w:val="left"/>
        <w:rPr>
          <w:szCs w:val="20"/>
          <w:u w:val="single"/>
        </w:rPr>
      </w:pPr>
      <w:r w:rsidRPr="00AF408D">
        <w:rPr>
          <w:szCs w:val="20"/>
        </w:rPr>
        <w:tab/>
      </w:r>
      <w:r w:rsidRPr="00AF408D">
        <w:rPr>
          <w:szCs w:val="20"/>
          <w:u w:val="single"/>
        </w:rPr>
        <w:t>1 - (1 + r)</w:t>
      </w:r>
      <w:r w:rsidRPr="00AF408D">
        <w:rPr>
          <w:szCs w:val="20"/>
          <w:u w:val="single"/>
          <w:vertAlign w:val="superscript"/>
        </w:rPr>
        <w:t>-n</w:t>
      </w:r>
    </w:p>
    <w:p w14:paraId="722BE32A" w14:textId="77777777" w:rsidR="00591CA5" w:rsidRPr="00AF408D" w:rsidRDefault="00591CA5" w:rsidP="00591CA5">
      <w:pPr>
        <w:tabs>
          <w:tab w:val="left" w:pos="1440"/>
          <w:tab w:val="center" w:pos="2340"/>
        </w:tabs>
        <w:spacing w:after="0"/>
        <w:ind w:left="1440" w:right="5400"/>
        <w:jc w:val="left"/>
        <w:rPr>
          <w:szCs w:val="20"/>
        </w:rPr>
      </w:pPr>
      <w:r w:rsidRPr="00AF408D">
        <w:rPr>
          <w:szCs w:val="20"/>
        </w:rPr>
        <w:tab/>
        <w:t>(r)</w:t>
      </w:r>
    </w:p>
    <w:p w14:paraId="18B6B144" w14:textId="77777777" w:rsidR="00591CA5" w:rsidRPr="00AF408D" w:rsidRDefault="00591CA5" w:rsidP="00591CA5">
      <w:pPr>
        <w:tabs>
          <w:tab w:val="left" w:pos="1440"/>
        </w:tabs>
        <w:spacing w:after="0"/>
        <w:ind w:left="1440"/>
        <w:jc w:val="left"/>
        <w:rPr>
          <w:szCs w:val="20"/>
        </w:rPr>
      </w:pPr>
    </w:p>
    <w:p w14:paraId="33BB4842" w14:textId="77777777" w:rsidR="00591CA5" w:rsidRPr="00AF408D" w:rsidRDefault="00591CA5" w:rsidP="00591CA5">
      <w:pPr>
        <w:tabs>
          <w:tab w:val="left" w:pos="1440"/>
        </w:tabs>
        <w:spacing w:after="0"/>
        <w:ind w:left="1440"/>
        <w:jc w:val="left"/>
        <w:rPr>
          <w:szCs w:val="20"/>
        </w:rPr>
      </w:pPr>
      <w:r w:rsidRPr="00AF408D">
        <w:rPr>
          <w:szCs w:val="20"/>
        </w:rPr>
        <w:t>r =</w:t>
      </w:r>
      <w:r w:rsidRPr="00AF408D">
        <w:rPr>
          <w:szCs w:val="20"/>
        </w:rPr>
        <w:tab/>
        <w:t>Monthly Yield Rate at Breakage</w:t>
      </w:r>
    </w:p>
    <w:p w14:paraId="32CFDB8D" w14:textId="77777777" w:rsidR="00591CA5" w:rsidRPr="00AF408D" w:rsidRDefault="00591CA5" w:rsidP="00591CA5">
      <w:pPr>
        <w:tabs>
          <w:tab w:val="left" w:pos="1440"/>
        </w:tabs>
        <w:spacing w:after="0"/>
        <w:ind w:left="1440"/>
        <w:jc w:val="left"/>
        <w:rPr>
          <w:rFonts w:ascii="Times New Roman Bold" w:hAnsi="Times New Roman Bold"/>
          <w:b/>
          <w:color w:val="00CCFF"/>
          <w:szCs w:val="20"/>
        </w:rPr>
      </w:pPr>
      <w:r w:rsidRPr="00AF408D">
        <w:rPr>
          <w:szCs w:val="20"/>
        </w:rPr>
        <w:t>n =</w:t>
      </w:r>
      <w:r w:rsidRPr="00AF408D">
        <w:rPr>
          <w:szCs w:val="20"/>
        </w:rPr>
        <w:tab/>
        <w:t xml:space="preserve">the number of months in the Mortgage term (set forth in </w:t>
      </w:r>
      <w:r w:rsidRPr="00AF408D">
        <w:rPr>
          <w:szCs w:val="20"/>
          <w:u w:val="single"/>
        </w:rPr>
        <w:t>Exhibit A</w:t>
      </w:r>
      <w:r w:rsidRPr="00AF408D">
        <w:rPr>
          <w:szCs w:val="20"/>
        </w:rPr>
        <w:t>)</w:t>
      </w:r>
    </w:p>
    <w:p w14:paraId="6B268650" w14:textId="77777777" w:rsidR="00591CA5" w:rsidRPr="00AF408D" w:rsidRDefault="00591CA5" w:rsidP="00591CA5">
      <w:pPr>
        <w:keepNext/>
        <w:spacing w:after="0"/>
        <w:ind w:left="720" w:hanging="720"/>
        <w:jc w:val="left"/>
        <w:rPr>
          <w:szCs w:val="20"/>
        </w:rPr>
      </w:pPr>
    </w:p>
    <w:p w14:paraId="3FFB9FF3" w14:textId="77777777" w:rsidR="00591CA5" w:rsidRPr="00AF408D" w:rsidRDefault="00591CA5" w:rsidP="00591CA5">
      <w:pPr>
        <w:keepNext/>
        <w:spacing w:after="0"/>
        <w:ind w:left="720" w:hanging="720"/>
        <w:jc w:val="left"/>
        <w:rPr>
          <w:szCs w:val="20"/>
        </w:rPr>
      </w:pPr>
      <w:r w:rsidRPr="00AF408D">
        <w:rPr>
          <w:szCs w:val="20"/>
        </w:rPr>
        <w:t>4.</w:t>
      </w:r>
      <w:r w:rsidRPr="00AF408D">
        <w:rPr>
          <w:szCs w:val="20"/>
        </w:rPr>
        <w:tab/>
      </w:r>
      <w:r w:rsidRPr="00AF408D">
        <w:rPr>
          <w:szCs w:val="20"/>
          <w:u w:val="single"/>
        </w:rPr>
        <w:t xml:space="preserve">Obligation to Pay Breakage </w:t>
      </w:r>
      <w:proofErr w:type="gramStart"/>
      <w:r w:rsidRPr="00AF408D">
        <w:rPr>
          <w:szCs w:val="20"/>
          <w:u w:val="single"/>
        </w:rPr>
        <w:t>Fee;</w:t>
      </w:r>
      <w:proofErr w:type="gramEnd"/>
      <w:r w:rsidRPr="00AF408D">
        <w:rPr>
          <w:szCs w:val="20"/>
          <w:u w:val="single"/>
        </w:rPr>
        <w:t xml:space="preserve"> </w:t>
      </w:r>
      <w:r>
        <w:rPr>
          <w:szCs w:val="20"/>
          <w:u w:val="single"/>
        </w:rPr>
        <w:t>Joint and Several Liability</w:t>
      </w:r>
    </w:p>
    <w:p w14:paraId="333414E7" w14:textId="77777777" w:rsidR="00591CA5" w:rsidRPr="00AF408D" w:rsidRDefault="00591CA5" w:rsidP="00591CA5">
      <w:pPr>
        <w:spacing w:after="0"/>
        <w:ind w:left="720"/>
        <w:jc w:val="left"/>
        <w:rPr>
          <w:b/>
          <w:szCs w:val="20"/>
        </w:rPr>
      </w:pPr>
      <w:bookmarkStart w:id="3" w:name="_Hlk40133662"/>
      <w:r w:rsidRPr="00AF408D">
        <w:rPr>
          <w:szCs w:val="20"/>
        </w:rPr>
        <w:t>If there is a Default</w:t>
      </w:r>
      <w:r>
        <w:rPr>
          <w:szCs w:val="20"/>
        </w:rPr>
        <w:t xml:space="preserve"> or if the Breakage Fee is otherwise due and payable (“</w:t>
      </w:r>
      <w:r w:rsidRPr="00692BD1">
        <w:rPr>
          <w:b/>
          <w:bCs/>
          <w:szCs w:val="20"/>
        </w:rPr>
        <w:t>Breakage Fee Event</w:t>
      </w:r>
      <w:r>
        <w:rPr>
          <w:szCs w:val="20"/>
        </w:rPr>
        <w:t>”)</w:t>
      </w:r>
      <w:r w:rsidRPr="00AF408D">
        <w:rPr>
          <w:szCs w:val="20"/>
        </w:rPr>
        <w:t>, Lender will be liable to Freddie Mac, and Borrower and Breakage Obligor will be liable to Lender, for the Breakage Fee. The liability of each person and/or entity constituting Borrower and Breakage Obligor for the Breakage Fee will be joint and several.</w:t>
      </w:r>
      <w:r w:rsidRPr="00AF408D">
        <w:rPr>
          <w:b/>
          <w:szCs w:val="20"/>
        </w:rPr>
        <w:t xml:space="preserve">  </w:t>
      </w:r>
      <w:r w:rsidRPr="00AF408D">
        <w:rPr>
          <w:szCs w:val="20"/>
        </w:rPr>
        <w:t xml:space="preserve">  </w:t>
      </w:r>
    </w:p>
    <w:bookmarkEnd w:id="3"/>
    <w:p w14:paraId="7012C3C6" w14:textId="77777777" w:rsidR="00591CA5" w:rsidRPr="00AF408D" w:rsidRDefault="00591CA5" w:rsidP="00591CA5">
      <w:pPr>
        <w:spacing w:after="0"/>
        <w:ind w:left="720" w:hanging="720"/>
        <w:jc w:val="left"/>
        <w:rPr>
          <w:szCs w:val="20"/>
          <w:highlight w:val="yellow"/>
        </w:rPr>
      </w:pPr>
    </w:p>
    <w:p w14:paraId="1AED6550" w14:textId="77777777" w:rsidR="00591CA5" w:rsidRPr="00AF408D" w:rsidRDefault="00591CA5" w:rsidP="00591CA5">
      <w:pPr>
        <w:keepNext/>
        <w:spacing w:after="0"/>
        <w:ind w:left="720" w:hanging="720"/>
        <w:jc w:val="left"/>
        <w:rPr>
          <w:szCs w:val="20"/>
        </w:rPr>
      </w:pPr>
      <w:r w:rsidRPr="00AF408D">
        <w:rPr>
          <w:szCs w:val="20"/>
        </w:rPr>
        <w:t>5.</w:t>
      </w:r>
      <w:r w:rsidRPr="00AF408D">
        <w:rPr>
          <w:szCs w:val="20"/>
        </w:rPr>
        <w:tab/>
      </w:r>
      <w:r w:rsidRPr="000735AF">
        <w:rPr>
          <w:szCs w:val="20"/>
          <w:u w:val="single"/>
        </w:rPr>
        <w:t>Payment of GFD; Assignment</w:t>
      </w:r>
      <w:r w:rsidRPr="00AF408D">
        <w:rPr>
          <w:szCs w:val="20"/>
          <w:u w:val="single"/>
        </w:rPr>
        <w:t xml:space="preserve"> to Freddie Mac of Obligation to Pay Remaining Breakage Fee</w:t>
      </w:r>
    </w:p>
    <w:p w14:paraId="20547493" w14:textId="77777777" w:rsidR="00591CA5" w:rsidRPr="00AF408D" w:rsidRDefault="00591CA5" w:rsidP="00591CA5">
      <w:pPr>
        <w:spacing w:after="0"/>
        <w:ind w:left="720"/>
        <w:jc w:val="left"/>
        <w:rPr>
          <w:szCs w:val="20"/>
        </w:rPr>
      </w:pPr>
      <w:r w:rsidRPr="00AF408D">
        <w:rPr>
          <w:szCs w:val="20"/>
        </w:rPr>
        <w:t xml:space="preserve">Upon a </w:t>
      </w:r>
      <w:r>
        <w:rPr>
          <w:szCs w:val="20"/>
        </w:rPr>
        <w:t>Breakage Fee Event</w:t>
      </w:r>
      <w:r w:rsidRPr="00AF408D">
        <w:rPr>
          <w:szCs w:val="20"/>
        </w:rPr>
        <w:t xml:space="preserve">, Lender </w:t>
      </w:r>
      <w:r w:rsidRPr="000735AF">
        <w:rPr>
          <w:szCs w:val="20"/>
        </w:rPr>
        <w:t xml:space="preserve">will </w:t>
      </w:r>
      <w:r>
        <w:rPr>
          <w:szCs w:val="20"/>
        </w:rPr>
        <w:t xml:space="preserve">(a) </w:t>
      </w:r>
      <w:r w:rsidRPr="000735AF">
        <w:rPr>
          <w:szCs w:val="20"/>
        </w:rPr>
        <w:t>pay the GFD to Freddie Mac, who will</w:t>
      </w:r>
      <w:r>
        <w:rPr>
          <w:szCs w:val="20"/>
        </w:rPr>
        <w:t xml:space="preserve"> credit the GFD, less any portion of the Application Fee that is still owed to Freddie Mac, towards the </w:t>
      </w:r>
      <w:r w:rsidRPr="000735AF">
        <w:rPr>
          <w:szCs w:val="20"/>
        </w:rPr>
        <w:t>Breakage Fee</w:t>
      </w:r>
      <w:r>
        <w:rPr>
          <w:szCs w:val="20"/>
        </w:rPr>
        <w:t xml:space="preserve"> and (b)</w:t>
      </w:r>
      <w:r w:rsidRPr="00AF408D">
        <w:rPr>
          <w:szCs w:val="20"/>
        </w:rPr>
        <w:t xml:space="preserve"> effectuate the Assignment, pursuant to which Borrower and Breakage Obligor will be obligated to pay to Freddie Mac any portion of the Breakage Fee that exceeds the GFD. Borrower and Breakage Obligor each consents to the Assignment</w:t>
      </w:r>
      <w:r>
        <w:rPr>
          <w:szCs w:val="20"/>
        </w:rPr>
        <w:t xml:space="preserve"> and the delivery of the GFD to Freddie Mac</w:t>
      </w:r>
      <w:r w:rsidRPr="00AF408D">
        <w:rPr>
          <w:szCs w:val="20"/>
        </w:rPr>
        <w:t>.</w:t>
      </w:r>
      <w:bookmarkStart w:id="4" w:name="_Hlk40136206"/>
      <w:r w:rsidRPr="00AF408D">
        <w:rPr>
          <w:szCs w:val="20"/>
        </w:rPr>
        <w:t xml:space="preserve">  Borrower and Breakage Obligor each acknowledges that </w:t>
      </w:r>
      <w:bookmarkEnd w:id="4"/>
      <w:r w:rsidRPr="00AF408D">
        <w:rPr>
          <w:szCs w:val="20"/>
        </w:rPr>
        <w:t xml:space="preserve">the Assignment will in no way alter or diminish Borrower’s or Breakage Obligor’s other obligations to Lender under this Lender Commitment; provided, however, to the extent that Borrower and/or Breakage Obligor </w:t>
      </w:r>
      <w:r w:rsidRPr="00AF408D">
        <w:rPr>
          <w:szCs w:val="20"/>
        </w:rPr>
        <w:lastRenderedPageBreak/>
        <w:t xml:space="preserve">has paid the Breakage Fee to Freddie Mac directly, Lender will not be entitled to collect </w:t>
      </w:r>
      <w:r>
        <w:rPr>
          <w:szCs w:val="20"/>
        </w:rPr>
        <w:t>the Breakage Fee</w:t>
      </w:r>
      <w:r w:rsidRPr="00AF408D">
        <w:rPr>
          <w:szCs w:val="20"/>
        </w:rPr>
        <w:t>. Borrower and Breakage Obligor each confirms and acknowledges that if the Breakage Fee becomes due, pursuant to the Assignment, Freddie Mac may demand that Borrower and Breakage Obligor pay the Breakage Fee directly to Freddie Mac and Freddie Mac will not be required to pursue its remedies first against Lender.</w:t>
      </w:r>
    </w:p>
    <w:bookmarkEnd w:id="2"/>
    <w:p w14:paraId="6308DBF4" w14:textId="77777777" w:rsidR="00591CA5" w:rsidRPr="00AF408D" w:rsidRDefault="00591CA5" w:rsidP="00591CA5">
      <w:pPr>
        <w:keepNext/>
        <w:spacing w:after="0"/>
        <w:ind w:left="720" w:hanging="720"/>
        <w:jc w:val="left"/>
        <w:rPr>
          <w:szCs w:val="20"/>
          <w:highlight w:val="yellow"/>
        </w:rPr>
      </w:pPr>
    </w:p>
    <w:p w14:paraId="65EB1474" w14:textId="77777777" w:rsidR="00591CA5" w:rsidRPr="00AF408D" w:rsidRDefault="00591CA5" w:rsidP="00591CA5">
      <w:pPr>
        <w:keepNext/>
        <w:spacing w:after="0"/>
        <w:ind w:left="720" w:hanging="720"/>
        <w:jc w:val="left"/>
        <w:rPr>
          <w:szCs w:val="20"/>
        </w:rPr>
      </w:pPr>
      <w:r w:rsidRPr="00AF408D">
        <w:rPr>
          <w:szCs w:val="20"/>
        </w:rPr>
        <w:t>6.</w:t>
      </w:r>
      <w:r w:rsidRPr="00AF408D">
        <w:rPr>
          <w:szCs w:val="20"/>
        </w:rPr>
        <w:tab/>
      </w:r>
      <w:r w:rsidRPr="00AF408D">
        <w:rPr>
          <w:szCs w:val="20"/>
          <w:u w:val="single"/>
        </w:rPr>
        <w:t>Waiver of Right to Assert Defenses</w:t>
      </w:r>
    </w:p>
    <w:p w14:paraId="067C86CD" w14:textId="77777777" w:rsidR="00591CA5" w:rsidRPr="00AF408D" w:rsidRDefault="00591CA5" w:rsidP="00591CA5">
      <w:pPr>
        <w:spacing w:after="0"/>
        <w:ind w:left="720"/>
        <w:jc w:val="left"/>
        <w:rPr>
          <w:szCs w:val="20"/>
        </w:rPr>
      </w:pPr>
      <w:r w:rsidRPr="00AF408D">
        <w:rPr>
          <w:szCs w:val="20"/>
        </w:rPr>
        <w:t xml:space="preserve">By execution of this Lender Commitment, Borrower and Breakage Obligor each waives, to the fullest extent permitted by applicable law, the right to assert against Freddie Mac as assignee of Lender, </w:t>
      </w:r>
      <w:bookmarkStart w:id="5" w:name="_Hlk40137319"/>
      <w:r w:rsidRPr="00AF408D">
        <w:rPr>
          <w:szCs w:val="20"/>
        </w:rPr>
        <w:t>any claim or defense to the claim assigned that arises out of transactions or relationships between Borrower and Lender and/or between Breakage Obligor and Lender, including claims or defenses for fraud or set-off. By execution of this Lender Commitment, Borrower and Breakage Obligor each acknowledges and agrees that this waiver is entered into knowingly and voluntarily with the benefit of competent legal counsel.</w:t>
      </w:r>
    </w:p>
    <w:bookmarkEnd w:id="5"/>
    <w:p w14:paraId="724C2616" w14:textId="77777777" w:rsidR="00591CA5" w:rsidRPr="00AF408D" w:rsidRDefault="00591CA5" w:rsidP="00591CA5">
      <w:pPr>
        <w:spacing w:after="0"/>
        <w:ind w:left="720" w:hanging="720"/>
        <w:jc w:val="left"/>
        <w:rPr>
          <w:szCs w:val="20"/>
          <w:highlight w:val="yellow"/>
        </w:rPr>
      </w:pPr>
    </w:p>
    <w:p w14:paraId="6E5DFBFF" w14:textId="77777777" w:rsidR="00591CA5" w:rsidRPr="00AF408D" w:rsidRDefault="00591CA5" w:rsidP="00591CA5">
      <w:pPr>
        <w:keepNext/>
        <w:spacing w:after="0"/>
        <w:ind w:left="720" w:hanging="720"/>
        <w:jc w:val="left"/>
        <w:rPr>
          <w:szCs w:val="20"/>
        </w:rPr>
      </w:pPr>
      <w:r w:rsidRPr="00AF408D">
        <w:rPr>
          <w:szCs w:val="20"/>
        </w:rPr>
        <w:t>7.</w:t>
      </w:r>
      <w:r w:rsidRPr="00AF408D">
        <w:rPr>
          <w:szCs w:val="20"/>
        </w:rPr>
        <w:tab/>
      </w:r>
      <w:r w:rsidRPr="00AF408D">
        <w:rPr>
          <w:szCs w:val="20"/>
          <w:u w:val="single"/>
        </w:rPr>
        <w:t>Waiver of Right to Contest Liquidated Damages</w:t>
      </w:r>
    </w:p>
    <w:p w14:paraId="269955F5" w14:textId="77777777" w:rsidR="00591CA5" w:rsidRDefault="00591CA5" w:rsidP="00591CA5">
      <w:pPr>
        <w:spacing w:after="0"/>
        <w:ind w:left="720"/>
        <w:jc w:val="left"/>
        <w:rPr>
          <w:szCs w:val="20"/>
        </w:rPr>
      </w:pPr>
      <w:r w:rsidRPr="00AF408D">
        <w:rPr>
          <w:szCs w:val="20"/>
        </w:rPr>
        <w:t xml:space="preserve">By execution of this Lender Commitment, Borrower and Breakage Obligor each waives, to the fullest extent permitted by applicable law, any defense as to the validity of any liquidated damages set forth in this Lender Commitment on the grounds that such liquidated damages are void as penalties or are not reasonably related to the actual damages. By execution of this Lender Commitment, Borrower and Breakage Obligor each acknowledges and agrees that this waiver is entered into knowingly and voluntarily with the benefit of competent legal counsel.   </w:t>
      </w:r>
    </w:p>
    <w:p w14:paraId="0F68A4CD" w14:textId="078C6D81" w:rsidR="00C67818" w:rsidRPr="00591CA5" w:rsidRDefault="00C67818" w:rsidP="00591CA5">
      <w:pPr>
        <w:spacing w:after="0"/>
        <w:jc w:val="left"/>
        <w:rPr>
          <w:szCs w:val="20"/>
        </w:rPr>
      </w:pPr>
    </w:p>
    <w:sectPr w:rsidR="00C67818" w:rsidRPr="0059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5"/>
    <w:rsid w:val="004338AA"/>
    <w:rsid w:val="00447642"/>
    <w:rsid w:val="00591CA5"/>
    <w:rsid w:val="00C6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DBE7"/>
  <w15:chartTrackingRefBased/>
  <w15:docId w15:val="{08D1B4C7-2C53-4F10-900E-2EB28FFC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A5"/>
    <w:pPr>
      <w:spacing w:after="240"/>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CommERLAStyle">
    <w:name w:val="FRECommERLAStyle"/>
    <w:rsid w:val="00591CA5"/>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Jenny</cp:lastModifiedBy>
  <cp:revision>2</cp:revision>
  <dcterms:created xsi:type="dcterms:W3CDTF">2021-10-11T14:05:00Z</dcterms:created>
  <dcterms:modified xsi:type="dcterms:W3CDTF">2021-10-12T16:07:00Z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832fb7d6-abc9-4932-84ca-b92e969632bc</vt:lpwstr>
  </property>
</Properties>
</file>